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6D17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Миусского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22 марта 2021г.</w:t>
      </w:r>
    </w:p>
    <w:p w:rsidR="00BA683F" w:rsidRPr="00A85667" w:rsidRDefault="009D250C" w:rsidP="00BA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83F" w:rsidRPr="00A8566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Контрольно-счетной комиссией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18 п.1 Положения о бюджетном процессе в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Миусском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МО от 10.01.2017 №70-129, пункта 1.3. Соглашения о передаче Контрольно-счетной комиссии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BA683F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№5 от 01.11.2014г.</w:t>
      </w:r>
    </w:p>
    <w:p w:rsidR="00BA683F" w:rsidRPr="00E319BE" w:rsidRDefault="00BA683F" w:rsidP="00BA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BA6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BA683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BA683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EB2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EB2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EB2F54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EB2F5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EB2F54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.2020г. №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A2748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486638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05508A">
        <w:rPr>
          <w:rFonts w:ascii="Times New Roman" w:hAnsi="Times New Roman" w:cs="Times New Roman"/>
          <w:sz w:val="28"/>
          <w:szCs w:val="28"/>
        </w:rPr>
        <w:t>меньшились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5508A">
        <w:rPr>
          <w:rFonts w:ascii="Times New Roman" w:hAnsi="Times New Roman" w:cs="Times New Roman"/>
          <w:sz w:val="28"/>
          <w:szCs w:val="28"/>
        </w:rPr>
        <w:t>73,8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05508A">
        <w:rPr>
          <w:rFonts w:ascii="Times New Roman" w:hAnsi="Times New Roman" w:cs="Times New Roman"/>
          <w:sz w:val="28"/>
          <w:szCs w:val="28"/>
        </w:rPr>
        <w:t>6205,5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остаточной стоимостью </w:t>
      </w:r>
      <w:r w:rsidR="0005508A">
        <w:rPr>
          <w:rFonts w:ascii="Times New Roman" w:hAnsi="Times New Roman" w:cs="Times New Roman"/>
          <w:sz w:val="28"/>
          <w:szCs w:val="28"/>
        </w:rPr>
        <w:t>1974,2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05508A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5508A">
        <w:rPr>
          <w:rFonts w:ascii="Times New Roman" w:hAnsi="Times New Roman" w:cs="Times New Roman"/>
          <w:sz w:val="28"/>
          <w:szCs w:val="28"/>
        </w:rPr>
        <w:t>-73,7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2B3120">
        <w:rPr>
          <w:rFonts w:ascii="Times New Roman" w:hAnsi="Times New Roman" w:cs="Times New Roman"/>
          <w:sz w:val="28"/>
          <w:szCs w:val="28"/>
        </w:rPr>
        <w:t>1,6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B3120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F825AB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2B3120">
        <w:rPr>
          <w:rFonts w:ascii="Times New Roman" w:hAnsi="Times New Roman" w:cs="Times New Roman"/>
          <w:sz w:val="28"/>
          <w:szCs w:val="28"/>
        </w:rPr>
        <w:t>58,74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рублей), нефинансовые активы имущества казны </w:t>
      </w:r>
      <w:r w:rsidR="00486638">
        <w:rPr>
          <w:rFonts w:ascii="Times New Roman" w:hAnsi="Times New Roman" w:cs="Times New Roman"/>
          <w:sz w:val="28"/>
          <w:szCs w:val="28"/>
        </w:rPr>
        <w:t xml:space="preserve">– </w:t>
      </w:r>
      <w:r w:rsidR="002B3120">
        <w:rPr>
          <w:rFonts w:ascii="Times New Roman" w:hAnsi="Times New Roman" w:cs="Times New Roman"/>
          <w:sz w:val="28"/>
          <w:szCs w:val="28"/>
        </w:rPr>
        <w:t>4229,8</w:t>
      </w:r>
      <w:r w:rsidR="0048663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86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6638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A0544">
        <w:rPr>
          <w:rFonts w:ascii="Times New Roman" w:hAnsi="Times New Roman" w:cs="Times New Roman"/>
          <w:sz w:val="28"/>
          <w:szCs w:val="28"/>
        </w:rPr>
        <w:t>251,7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A0544">
        <w:rPr>
          <w:rFonts w:ascii="Times New Roman" w:hAnsi="Times New Roman" w:cs="Times New Roman"/>
          <w:sz w:val="28"/>
          <w:szCs w:val="28"/>
        </w:rPr>
        <w:t>2820,6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6A0544">
        <w:rPr>
          <w:rFonts w:ascii="Times New Roman" w:hAnsi="Times New Roman" w:cs="Times New Roman"/>
          <w:sz w:val="28"/>
          <w:szCs w:val="28"/>
        </w:rPr>
        <w:t>35,7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(увеличение на </w:t>
      </w:r>
      <w:r w:rsidR="00DA72BE">
        <w:rPr>
          <w:rFonts w:ascii="Times New Roman" w:hAnsi="Times New Roman" w:cs="Times New Roman"/>
          <w:sz w:val="28"/>
          <w:szCs w:val="28"/>
        </w:rPr>
        <w:t>3</w:t>
      </w:r>
      <w:r w:rsidR="007B2F68">
        <w:rPr>
          <w:rFonts w:ascii="Times New Roman" w:hAnsi="Times New Roman" w:cs="Times New Roman"/>
          <w:sz w:val="28"/>
          <w:szCs w:val="28"/>
        </w:rPr>
        <w:t>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B2F6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A72BE">
        <w:rPr>
          <w:rFonts w:ascii="Times New Roman" w:hAnsi="Times New Roman" w:cs="Times New Roman"/>
          <w:sz w:val="28"/>
          <w:szCs w:val="28"/>
        </w:rPr>
        <w:t>35,7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B2F68">
        <w:rPr>
          <w:rFonts w:ascii="Times New Roman" w:hAnsi="Times New Roman" w:cs="Times New Roman"/>
          <w:sz w:val="28"/>
          <w:szCs w:val="28"/>
        </w:rPr>
        <w:t xml:space="preserve"> </w:t>
      </w:r>
      <w:r w:rsidR="00DA72BE">
        <w:rPr>
          <w:rFonts w:ascii="Times New Roman" w:hAnsi="Times New Roman" w:cs="Times New Roman"/>
          <w:sz w:val="28"/>
          <w:szCs w:val="28"/>
        </w:rPr>
        <w:t>5,0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72BE">
        <w:rPr>
          <w:rFonts w:ascii="Times New Roman" w:hAnsi="Times New Roman" w:cs="Times New Roman"/>
          <w:sz w:val="28"/>
          <w:szCs w:val="28"/>
        </w:rPr>
        <w:t>6241,3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DA72BE">
        <w:rPr>
          <w:rFonts w:ascii="Times New Roman" w:hAnsi="Times New Roman" w:cs="Times New Roman"/>
          <w:sz w:val="28"/>
          <w:szCs w:val="28"/>
        </w:rPr>
        <w:t xml:space="preserve">6236,3 </w:t>
      </w:r>
      <w:r w:rsidRPr="00F825AB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DA72BE">
        <w:rPr>
          <w:rFonts w:ascii="Times New Roman" w:hAnsi="Times New Roman" w:cs="Times New Roman"/>
          <w:sz w:val="28"/>
          <w:szCs w:val="28"/>
        </w:rPr>
        <w:t>165,8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EF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6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7810E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3556,3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97,9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EF">
        <w:rPr>
          <w:rFonts w:ascii="Times New Roman" w:hAnsi="Times New Roman" w:cs="Times New Roman"/>
          <w:color w:val="000000"/>
          <w:sz w:val="28"/>
          <w:szCs w:val="28"/>
        </w:rPr>
        <w:t>3530,2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7810EF">
        <w:rPr>
          <w:rFonts w:ascii="Times New Roman" w:hAnsi="Times New Roman" w:cs="Times New Roman"/>
          <w:color w:val="000000"/>
          <w:sz w:val="28"/>
          <w:szCs w:val="28"/>
        </w:rPr>
        <w:t>26,1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7810E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7810EF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063D8E">
        <w:rPr>
          <w:rFonts w:ascii="Times New Roman" w:hAnsi="Times New Roman" w:cs="Times New Roman"/>
          <w:color w:val="000000"/>
          <w:sz w:val="28"/>
          <w:szCs w:val="28"/>
        </w:rPr>
        <w:t>35,7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063D8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063D8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06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23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21-51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3102,1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3102,1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063D8E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6,6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0,2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530,6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17,1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3095,5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3632,7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063D8E">
        <w:rPr>
          <w:rFonts w:ascii="Times New Roman" w:hAnsi="Times New Roman" w:cs="Times New Roman"/>
          <w:color w:val="0D0D0D"/>
          <w:sz w:val="28"/>
          <w:szCs w:val="28"/>
        </w:rPr>
        <w:t>537,2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727BE6">
        <w:rPr>
          <w:rFonts w:ascii="Times New Roman" w:hAnsi="Times New Roman" w:cs="Times New Roman"/>
          <w:color w:val="000000"/>
          <w:sz w:val="28"/>
          <w:szCs w:val="28"/>
        </w:rPr>
        <w:t>3037,5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727BE6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727BE6">
        <w:rPr>
          <w:rFonts w:ascii="Times New Roman" w:hAnsi="Times New Roman" w:cs="Times New Roman"/>
          <w:color w:val="000000"/>
          <w:sz w:val="28"/>
          <w:szCs w:val="28"/>
        </w:rPr>
        <w:t>3530,2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811D1">
        <w:rPr>
          <w:rFonts w:ascii="Times New Roman" w:hAnsi="Times New Roman" w:cs="Times New Roman"/>
          <w:color w:val="000000"/>
          <w:sz w:val="28"/>
          <w:szCs w:val="28"/>
        </w:rPr>
        <w:t>97,</w:t>
      </w:r>
      <w:r w:rsidR="00727B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727BE6">
        <w:rPr>
          <w:rFonts w:ascii="Times New Roman" w:hAnsi="Times New Roman" w:cs="Times New Roman"/>
          <w:sz w:val="28"/>
          <w:szCs w:val="28"/>
        </w:rPr>
        <w:t>492,7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727BE6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3102,1</w:t>
            </w:r>
          </w:p>
        </w:tc>
        <w:tc>
          <w:tcPr>
            <w:tcW w:w="1418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3095,5</w:t>
            </w:r>
          </w:p>
        </w:tc>
        <w:tc>
          <w:tcPr>
            <w:tcW w:w="1275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3037,5</w:t>
            </w:r>
          </w:p>
        </w:tc>
        <w:tc>
          <w:tcPr>
            <w:tcW w:w="1070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89" w:type="dxa"/>
          </w:tcPr>
          <w:p w:rsidR="00144DED" w:rsidRDefault="005F249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</w:p>
        </w:tc>
        <w:tc>
          <w:tcPr>
            <w:tcW w:w="1418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1905,1</w:t>
            </w:r>
          </w:p>
        </w:tc>
        <w:tc>
          <w:tcPr>
            <w:tcW w:w="1275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1847,1</w:t>
            </w:r>
          </w:p>
        </w:tc>
        <w:tc>
          <w:tcPr>
            <w:tcW w:w="1070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589" w:type="dxa"/>
          </w:tcPr>
          <w:p w:rsidR="00144DED" w:rsidRDefault="005F249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559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1069,1</w:t>
            </w:r>
          </w:p>
        </w:tc>
        <w:tc>
          <w:tcPr>
            <w:tcW w:w="1418" w:type="dxa"/>
          </w:tcPr>
          <w:p w:rsidR="00144DED" w:rsidRDefault="00905BD4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1190,4</w:t>
            </w:r>
          </w:p>
        </w:tc>
        <w:tc>
          <w:tcPr>
            <w:tcW w:w="1275" w:type="dxa"/>
          </w:tcPr>
          <w:p w:rsidR="00B466AE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1190,4</w:t>
            </w:r>
          </w:p>
        </w:tc>
        <w:tc>
          <w:tcPr>
            <w:tcW w:w="1070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5F2492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</w:t>
            </w:r>
          </w:p>
        </w:tc>
        <w:tc>
          <w:tcPr>
            <w:tcW w:w="1559" w:type="dxa"/>
          </w:tcPr>
          <w:p w:rsidR="00144DED" w:rsidRDefault="00905BD4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3102,1</w:t>
            </w:r>
          </w:p>
        </w:tc>
        <w:tc>
          <w:tcPr>
            <w:tcW w:w="1418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3632,7</w:t>
            </w:r>
          </w:p>
        </w:tc>
        <w:tc>
          <w:tcPr>
            <w:tcW w:w="1275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3530,2</w:t>
            </w:r>
          </w:p>
        </w:tc>
        <w:tc>
          <w:tcPr>
            <w:tcW w:w="1070" w:type="dxa"/>
          </w:tcPr>
          <w:p w:rsidR="00144DED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589" w:type="dxa"/>
          </w:tcPr>
          <w:p w:rsidR="00144DED" w:rsidRDefault="005F249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-112,5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-537,2</w:t>
            </w:r>
          </w:p>
        </w:tc>
        <w:tc>
          <w:tcPr>
            <w:tcW w:w="1275" w:type="dxa"/>
          </w:tcPr>
          <w:p w:rsidR="00867AD5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-492,7</w:t>
            </w:r>
          </w:p>
        </w:tc>
        <w:tc>
          <w:tcPr>
            <w:tcW w:w="1070" w:type="dxa"/>
          </w:tcPr>
          <w:p w:rsidR="00867AD5" w:rsidRDefault="00905BD4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89" w:type="dxa"/>
          </w:tcPr>
          <w:p w:rsidR="00867AD5" w:rsidRDefault="005F2492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5F2492">
        <w:rPr>
          <w:rFonts w:ascii="Times New Roman" w:hAnsi="Times New Roman" w:cs="Times New Roman"/>
          <w:sz w:val="28"/>
          <w:szCs w:val="28"/>
        </w:rPr>
        <w:t>1847,1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5F2492">
        <w:rPr>
          <w:rFonts w:ascii="Times New Roman" w:hAnsi="Times New Roman" w:cs="Times New Roman"/>
          <w:sz w:val="28"/>
          <w:szCs w:val="28"/>
        </w:rPr>
        <w:t>1190,4</w:t>
      </w:r>
      <w:r w:rsidR="00F421CB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5F2492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="00F4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2033,0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1905,1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1847,1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-58,0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99" w:type="dxa"/>
          </w:tcPr>
          <w:p w:rsidR="00C80913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1980,4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1853,5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1795,5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-58,0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9" w:type="dxa"/>
          </w:tcPr>
          <w:p w:rsidR="00C80913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C80913" w:rsidRPr="008B2E2C" w:rsidRDefault="000E1809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1150,1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1241,4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-91,6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276" w:type="dxa"/>
          </w:tcPr>
          <w:p w:rsidR="00C80913" w:rsidRPr="00CD69C2" w:rsidRDefault="00300DB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664BD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C80913" w:rsidRPr="00CD69C2" w:rsidRDefault="00664BD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C80913" w:rsidRPr="00CD69C2" w:rsidRDefault="00664BD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64BD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</w:tcPr>
          <w:p w:rsidR="00C80913" w:rsidRPr="00CD69C2" w:rsidRDefault="009C48C6" w:rsidP="0086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Административные штрафы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1069,1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1190,4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1190,4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</w:tr>
      <w:tr w:rsidR="00B037C4" w:rsidTr="00E23417">
        <w:tc>
          <w:tcPr>
            <w:tcW w:w="2235" w:type="dxa"/>
          </w:tcPr>
          <w:p w:rsidR="00B037C4" w:rsidRP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37C4">
              <w:rPr>
                <w:rFonts w:ascii="Times New Roman" w:hAnsi="Times New Roman" w:cs="Times New Roman"/>
              </w:rPr>
              <w:t>Безвозмездные поступления от других бюджетов РФ</w:t>
            </w:r>
          </w:p>
        </w:tc>
        <w:tc>
          <w:tcPr>
            <w:tcW w:w="1134" w:type="dxa"/>
          </w:tcPr>
          <w:p w:rsidR="00B037C4" w:rsidRDefault="00865096" w:rsidP="0086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1069,1</w:t>
            </w:r>
          </w:p>
        </w:tc>
        <w:tc>
          <w:tcPr>
            <w:tcW w:w="1134" w:type="dxa"/>
          </w:tcPr>
          <w:p w:rsidR="00B037C4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134" w:type="dxa"/>
          </w:tcPr>
          <w:p w:rsidR="00B037C4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559" w:type="dxa"/>
          </w:tcPr>
          <w:p w:rsidR="00B037C4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C4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B037C4" w:rsidRPr="00F23D0E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86509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E1809" w:rsidP="00B3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F13C9" w:rsidTr="00E23417">
        <w:tc>
          <w:tcPr>
            <w:tcW w:w="2235" w:type="dxa"/>
          </w:tcPr>
          <w:p w:rsidR="006F13C9" w:rsidRPr="00B044B5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бюджеты сельских поселений</w:t>
            </w:r>
          </w:p>
        </w:tc>
        <w:tc>
          <w:tcPr>
            <w:tcW w:w="1134" w:type="dxa"/>
          </w:tcPr>
          <w:p w:rsidR="006F13C9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13C9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34" w:type="dxa"/>
          </w:tcPr>
          <w:p w:rsidR="006F13C9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59" w:type="dxa"/>
          </w:tcPr>
          <w:p w:rsidR="006F13C9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3C9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6F13C9" w:rsidRPr="00F23D0E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3102,1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3095,5</w:t>
            </w:r>
          </w:p>
        </w:tc>
        <w:tc>
          <w:tcPr>
            <w:tcW w:w="1134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559" w:type="dxa"/>
          </w:tcPr>
          <w:p w:rsidR="00C80913" w:rsidRPr="00CD69C2" w:rsidRDefault="009C48C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-58,0</w:t>
            </w:r>
          </w:p>
        </w:tc>
        <w:tc>
          <w:tcPr>
            <w:tcW w:w="1276" w:type="dxa"/>
          </w:tcPr>
          <w:p w:rsidR="00C80913" w:rsidRPr="00CD69C2" w:rsidRDefault="00C01B6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99" w:type="dxa"/>
          </w:tcPr>
          <w:p w:rsidR="00C80913" w:rsidRPr="008B2E2C" w:rsidRDefault="000E180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233E8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643,1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105,6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608,5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1149,8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1241,4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92,6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140B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плане 3,0 тыс.руб. и составляет 86,6%.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37,9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1149,8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21,2</w:t>
      </w:r>
      <w:r w:rsidR="005C62BA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643,1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1190,4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1190,4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63,4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233E8E">
        <w:rPr>
          <w:rFonts w:ascii="Times New Roman" w:hAnsi="Times New Roman" w:cs="Times New Roman"/>
          <w:color w:val="0D0D0D"/>
          <w:sz w:val="28"/>
          <w:szCs w:val="28"/>
        </w:rPr>
        <w:t>2,1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D53EE" w:rsidRDefault="00233E8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Иные м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ежбюджетные трансферты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924,7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1719D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100%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2E7493" w:rsidRPr="002E7493" w:rsidRDefault="002E749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Прочие безвозмездные перечисления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111,4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 при плановых назначениях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111,4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тыс.руб., исполнение составило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280CFE">
        <w:rPr>
          <w:rFonts w:ascii="Times New Roman" w:hAnsi="Times New Roman" w:cs="Times New Roman"/>
          <w:color w:val="0D0D0D"/>
          <w:sz w:val="28"/>
          <w:szCs w:val="28"/>
        </w:rPr>
        <w:t>39,2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280CFE">
        <w:rPr>
          <w:rFonts w:ascii="Times New Roman" w:hAnsi="Times New Roman" w:cs="Times New Roman"/>
          <w:color w:val="0D0D0D"/>
          <w:sz w:val="28"/>
          <w:szCs w:val="28"/>
        </w:rPr>
        <w:t>30,4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280CFE">
        <w:rPr>
          <w:rFonts w:ascii="Times New Roman" w:hAnsi="Times New Roman" w:cs="Times New Roman"/>
          <w:color w:val="0D0D0D"/>
          <w:sz w:val="28"/>
          <w:szCs w:val="28"/>
        </w:rPr>
        <w:t>924,7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683A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иусского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3037,5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280CF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3632,7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3530,2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97,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280CFE">
        <w:rPr>
          <w:rFonts w:ascii="Times New Roman" w:hAnsi="Times New Roman" w:cs="Times New Roman"/>
          <w:color w:val="0D0D0D"/>
          <w:sz w:val="28"/>
          <w:szCs w:val="28"/>
        </w:rPr>
        <w:t>428,1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280CFE">
        <w:rPr>
          <w:rFonts w:ascii="Times New Roman" w:hAnsi="Times New Roman" w:cs="Times New Roman"/>
          <w:color w:val="0D0D0D"/>
          <w:sz w:val="28"/>
          <w:szCs w:val="28"/>
        </w:rPr>
        <w:t>13,8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83ABC" w:rsidRDefault="00683AB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C" w:rsidRDefault="00683AB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C" w:rsidRDefault="00683AB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C" w:rsidRDefault="00683AB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C" w:rsidRDefault="00683AB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1134"/>
        <w:gridCol w:w="1134"/>
        <w:gridCol w:w="992"/>
        <w:gridCol w:w="709"/>
        <w:gridCol w:w="1099"/>
      </w:tblGrid>
      <w:tr w:rsidR="007E22A7" w:rsidTr="00E226BC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70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226BC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1138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3102,1</w:t>
            </w:r>
          </w:p>
        </w:tc>
        <w:tc>
          <w:tcPr>
            <w:tcW w:w="1134" w:type="dxa"/>
          </w:tcPr>
          <w:p w:rsidR="007E22A7" w:rsidRPr="00A0758E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3632,7</w:t>
            </w:r>
          </w:p>
        </w:tc>
        <w:tc>
          <w:tcPr>
            <w:tcW w:w="1134" w:type="dxa"/>
          </w:tcPr>
          <w:p w:rsidR="007E22A7" w:rsidRPr="00A0758E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3530,2</w:t>
            </w:r>
          </w:p>
        </w:tc>
        <w:tc>
          <w:tcPr>
            <w:tcW w:w="992" w:type="dxa"/>
          </w:tcPr>
          <w:p w:rsidR="007E22A7" w:rsidRPr="00A0758E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-102,5</w:t>
            </w:r>
          </w:p>
        </w:tc>
        <w:tc>
          <w:tcPr>
            <w:tcW w:w="709" w:type="dxa"/>
          </w:tcPr>
          <w:p w:rsidR="007E22A7" w:rsidRPr="00A0758E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099" w:type="dxa"/>
          </w:tcPr>
          <w:p w:rsidR="007E22A7" w:rsidRPr="00A0758E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1845,1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2102,5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-90,3</w:t>
            </w:r>
          </w:p>
        </w:tc>
        <w:tc>
          <w:tcPr>
            <w:tcW w:w="709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99" w:type="dxa"/>
          </w:tcPr>
          <w:p w:rsidR="007E22A7" w:rsidRPr="00320776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776">
              <w:rPr>
                <w:rFonts w:ascii="Times New Roman" w:hAnsi="Times New Roman" w:cs="Times New Roman"/>
                <w:b/>
                <w:sz w:val="28"/>
                <w:szCs w:val="28"/>
              </w:rPr>
              <w:t>57,0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134" w:type="dxa"/>
          </w:tcPr>
          <w:p w:rsidR="007E22A7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  <w:tc>
          <w:tcPr>
            <w:tcW w:w="1134" w:type="dxa"/>
          </w:tcPr>
          <w:p w:rsidR="007E22A7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Default="00280CFE" w:rsidP="0028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E22A7" w:rsidRPr="00644861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E73793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E73793" w:rsidRPr="00A0758E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1187,7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1324,1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1233,8</w:t>
            </w:r>
          </w:p>
        </w:tc>
        <w:tc>
          <w:tcPr>
            <w:tcW w:w="992" w:type="dxa"/>
          </w:tcPr>
          <w:p w:rsidR="00E73793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-90,3</w:t>
            </w:r>
          </w:p>
        </w:tc>
        <w:tc>
          <w:tcPr>
            <w:tcW w:w="709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</w:tcPr>
          <w:p w:rsidR="00E73793" w:rsidRPr="00A0758E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73793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793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E73793" w:rsidRPr="00A0758E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90,99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E22A7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1134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Pr="00CD69C2" w:rsidRDefault="00280CF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E22A7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775441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134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134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  <w:tc>
          <w:tcPr>
            <w:tcW w:w="709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9" w:type="dxa"/>
          </w:tcPr>
          <w:p w:rsidR="007E22A7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</w:tr>
      <w:tr w:rsidR="00775441" w:rsidTr="00E226BC">
        <w:tc>
          <w:tcPr>
            <w:tcW w:w="959" w:type="dxa"/>
          </w:tcPr>
          <w:p w:rsidR="00775441" w:rsidRPr="007E22A7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775441" w:rsidRPr="007E22A7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775441" w:rsidRDefault="00775441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92" w:type="dxa"/>
          </w:tcPr>
          <w:p w:rsidR="00775441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75441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75441" w:rsidTr="00E226BC">
        <w:tc>
          <w:tcPr>
            <w:tcW w:w="959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775441" w:rsidRDefault="00775441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134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992" w:type="dxa"/>
          </w:tcPr>
          <w:p w:rsidR="00775441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  <w:tc>
          <w:tcPr>
            <w:tcW w:w="709" w:type="dxa"/>
          </w:tcPr>
          <w:p w:rsidR="00775441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99" w:type="dxa"/>
          </w:tcPr>
          <w:p w:rsidR="00775441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7E22A7" w:rsidRPr="00CD69C2" w:rsidRDefault="00BF0A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Pr="00CD69C2" w:rsidRDefault="0077544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E22A7" w:rsidRPr="00320776" w:rsidRDefault="0032077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76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5A75F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2012,2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95,</w:t>
      </w:r>
      <w:r w:rsidR="00BF1AF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2102,5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57,0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AE">
        <w:rPr>
          <w:rFonts w:ascii="Times New Roman" w:hAnsi="Times New Roman" w:cs="Times New Roman"/>
          <w:i/>
          <w:iCs/>
          <w:sz w:val="28"/>
          <w:szCs w:val="28"/>
        </w:rPr>
        <w:lastRenderedPageBreak/>
        <w:t>010</w:t>
      </w:r>
      <w:r w:rsidR="009B0D2C" w:rsidRPr="00B541A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541A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5A75F9">
        <w:rPr>
          <w:rFonts w:ascii="Times New Roman" w:hAnsi="Times New Roman" w:cs="Times New Roman"/>
          <w:color w:val="000000"/>
          <w:sz w:val="28"/>
          <w:szCs w:val="28"/>
        </w:rPr>
        <w:t>757,0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5A75F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запланированных бюджетных назначений,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5A75F9">
        <w:rPr>
          <w:rFonts w:ascii="Times New Roman" w:hAnsi="Times New Roman" w:cs="Times New Roman"/>
          <w:color w:val="000000"/>
          <w:sz w:val="28"/>
          <w:szCs w:val="28"/>
        </w:rPr>
        <w:t>21,4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5A75F9">
        <w:rPr>
          <w:rFonts w:ascii="Times New Roman" w:hAnsi="Times New Roman" w:cs="Times New Roman"/>
          <w:sz w:val="28"/>
          <w:szCs w:val="28"/>
        </w:rPr>
        <w:t>1,4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="00B541A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A75F9">
        <w:rPr>
          <w:rFonts w:ascii="Times New Roman" w:hAnsi="Times New Roman" w:cs="Times New Roman"/>
          <w:sz w:val="28"/>
          <w:szCs w:val="28"/>
        </w:rPr>
        <w:t>100</w:t>
      </w:r>
      <w:r w:rsidR="00B541AE">
        <w:rPr>
          <w:rFonts w:ascii="Times New Roman" w:hAnsi="Times New Roman" w:cs="Times New Roman"/>
          <w:sz w:val="28"/>
          <w:szCs w:val="28"/>
        </w:rPr>
        <w:t>% от запла</w:t>
      </w:r>
      <w:r w:rsidR="005A75F9">
        <w:rPr>
          <w:rFonts w:ascii="Times New Roman" w:hAnsi="Times New Roman" w:cs="Times New Roman"/>
          <w:sz w:val="28"/>
          <w:szCs w:val="28"/>
        </w:rPr>
        <w:t>нированных бюджетных назначений</w:t>
      </w:r>
      <w:r w:rsidR="00B541AE">
        <w:rPr>
          <w:rFonts w:ascii="Times New Roman" w:hAnsi="Times New Roman" w:cs="Times New Roman"/>
          <w:sz w:val="28"/>
          <w:szCs w:val="28"/>
        </w:rPr>
        <w:t>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BD6EE4">
        <w:rPr>
          <w:rFonts w:ascii="Times New Roman" w:hAnsi="Times New Roman" w:cs="Times New Roman"/>
          <w:sz w:val="28"/>
          <w:szCs w:val="28"/>
        </w:rPr>
        <w:t>1324,1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D6EE4">
        <w:rPr>
          <w:rFonts w:ascii="Times New Roman" w:hAnsi="Times New Roman" w:cs="Times New Roman"/>
          <w:sz w:val="28"/>
          <w:szCs w:val="28"/>
        </w:rPr>
        <w:t>1233,8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BD6EE4">
        <w:rPr>
          <w:rFonts w:ascii="Times New Roman" w:hAnsi="Times New Roman" w:cs="Times New Roman"/>
          <w:sz w:val="28"/>
          <w:szCs w:val="28"/>
        </w:rPr>
        <w:t>93,1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BD6EE4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D6EE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541AE">
        <w:rPr>
          <w:rFonts w:ascii="Times New Roman" w:hAnsi="Times New Roman" w:cs="Times New Roman"/>
          <w:sz w:val="28"/>
          <w:szCs w:val="28"/>
        </w:rPr>
        <w:t>от запланированных бюджетных назначений</w:t>
      </w:r>
      <w:r w:rsidR="00BD6EE4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F74351">
        <w:rPr>
          <w:rFonts w:ascii="Times New Roman" w:hAnsi="Times New Roman" w:cs="Times New Roman"/>
          <w:sz w:val="28"/>
          <w:szCs w:val="28"/>
        </w:rPr>
        <w:t>90,9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начисления на выплаты по оплате труда составила 9</w:t>
      </w:r>
      <w:r w:rsidR="000E5469">
        <w:rPr>
          <w:rFonts w:ascii="Times New Roman" w:hAnsi="Times New Roman" w:cs="Times New Roman"/>
          <w:sz w:val="28"/>
          <w:szCs w:val="28"/>
        </w:rPr>
        <w:t>8</w:t>
      </w:r>
      <w:r w:rsidRPr="00FD53EE">
        <w:rPr>
          <w:rFonts w:ascii="Times New Roman" w:hAnsi="Times New Roman" w:cs="Times New Roman"/>
          <w:sz w:val="28"/>
          <w:szCs w:val="28"/>
        </w:rPr>
        <w:t>,</w:t>
      </w:r>
      <w:r w:rsidR="00F74351">
        <w:rPr>
          <w:rFonts w:ascii="Times New Roman" w:hAnsi="Times New Roman" w:cs="Times New Roman"/>
          <w:sz w:val="28"/>
          <w:szCs w:val="28"/>
        </w:rPr>
        <w:t>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AC2F41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AC2F4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FD53EE"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683ABC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620A00">
        <w:rPr>
          <w:rFonts w:ascii="Times New Roman" w:hAnsi="Times New Roman" w:cs="Times New Roman"/>
          <w:sz w:val="28"/>
          <w:szCs w:val="28"/>
        </w:rPr>
        <w:t>до 2</w:t>
      </w:r>
      <w:r w:rsidR="006C4B63">
        <w:rPr>
          <w:rFonts w:ascii="Times New Roman" w:hAnsi="Times New Roman" w:cs="Times New Roman"/>
          <w:sz w:val="28"/>
          <w:szCs w:val="28"/>
        </w:rPr>
        <w:t>02</w:t>
      </w:r>
      <w:r w:rsidR="00620A00">
        <w:rPr>
          <w:rFonts w:ascii="Times New Roman" w:hAnsi="Times New Roman" w:cs="Times New Roman"/>
          <w:sz w:val="28"/>
          <w:szCs w:val="28"/>
        </w:rPr>
        <w:t>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запланировано</w:t>
      </w:r>
      <w:r w:rsidR="00620A00">
        <w:rPr>
          <w:rFonts w:ascii="Times New Roman" w:hAnsi="Times New Roman" w:cs="Times New Roman"/>
          <w:sz w:val="28"/>
          <w:szCs w:val="28"/>
        </w:rPr>
        <w:t xml:space="preserve"> </w:t>
      </w:r>
      <w:r w:rsidR="00F74351">
        <w:rPr>
          <w:rFonts w:ascii="Times New Roman" w:hAnsi="Times New Roman" w:cs="Times New Roman"/>
          <w:sz w:val="28"/>
          <w:szCs w:val="28"/>
        </w:rPr>
        <w:t>924,7</w:t>
      </w:r>
      <w:r w:rsidRPr="00FD53EE">
        <w:rPr>
          <w:rFonts w:ascii="Times New Roman" w:hAnsi="Times New Roman" w:cs="Times New Roman"/>
          <w:sz w:val="28"/>
          <w:szCs w:val="28"/>
        </w:rPr>
        <w:t xml:space="preserve"> 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F74351">
        <w:rPr>
          <w:rFonts w:ascii="Times New Roman" w:hAnsi="Times New Roman" w:cs="Times New Roman"/>
          <w:sz w:val="28"/>
          <w:szCs w:val="28"/>
        </w:rPr>
        <w:t>100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3778C8">
        <w:rPr>
          <w:sz w:val="28"/>
          <w:szCs w:val="28"/>
        </w:rPr>
        <w:t>164,8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3778C8">
        <w:rPr>
          <w:sz w:val="28"/>
          <w:szCs w:val="28"/>
        </w:rPr>
        <w:t>100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3778C8">
        <w:rPr>
          <w:sz w:val="28"/>
          <w:szCs w:val="28"/>
        </w:rPr>
        <w:t>261,3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57074E">
        <w:rPr>
          <w:sz w:val="28"/>
          <w:szCs w:val="28"/>
        </w:rPr>
        <w:t>9</w:t>
      </w:r>
      <w:r w:rsidR="003778C8">
        <w:rPr>
          <w:sz w:val="28"/>
          <w:szCs w:val="28"/>
        </w:rPr>
        <w:t>5,7</w:t>
      </w:r>
      <w:r w:rsidR="0057074E">
        <w:rPr>
          <w:sz w:val="28"/>
          <w:szCs w:val="28"/>
        </w:rPr>
        <w:t>%</w:t>
      </w:r>
      <w:r w:rsidRPr="00B46460">
        <w:rPr>
          <w:sz w:val="28"/>
          <w:szCs w:val="28"/>
        </w:rPr>
        <w:t xml:space="preserve">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B165D2">
        <w:rPr>
          <w:sz w:val="28"/>
          <w:szCs w:val="28"/>
        </w:rPr>
        <w:t>76,8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</w:t>
      </w:r>
      <w:r w:rsidR="00B165D2">
        <w:rPr>
          <w:sz w:val="28"/>
          <w:szCs w:val="28"/>
        </w:rPr>
        <w:t>100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</w:t>
      </w:r>
      <w:r w:rsidR="004C781C">
        <w:rPr>
          <w:sz w:val="28"/>
          <w:szCs w:val="28"/>
        </w:rPr>
        <w:t>.</w:t>
      </w:r>
    </w:p>
    <w:p w:rsidR="00CF4BEC" w:rsidRDefault="00CF4BEC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6560A9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4441B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4441B">
        <w:rPr>
          <w:rFonts w:ascii="Times New Roman" w:hAnsi="Times New Roman" w:cs="Times New Roman"/>
          <w:sz w:val="28"/>
          <w:szCs w:val="28"/>
        </w:rPr>
        <w:t>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441B">
        <w:rPr>
          <w:rFonts w:ascii="Times New Roman" w:hAnsi="Times New Roman" w:cs="Times New Roman"/>
          <w:sz w:val="28"/>
          <w:szCs w:val="28"/>
        </w:rPr>
        <w:t>ы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04441B">
        <w:rPr>
          <w:rFonts w:ascii="Times New Roman" w:hAnsi="Times New Roman" w:cs="Times New Roman"/>
          <w:sz w:val="28"/>
          <w:szCs w:val="28"/>
        </w:rPr>
        <w:t>1439,3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04441B">
        <w:rPr>
          <w:rFonts w:ascii="Times New Roman" w:hAnsi="Times New Roman" w:cs="Times New Roman"/>
          <w:sz w:val="28"/>
          <w:szCs w:val="28"/>
        </w:rPr>
        <w:t>1427,6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C20BA2">
        <w:rPr>
          <w:rFonts w:ascii="Times New Roman" w:hAnsi="Times New Roman" w:cs="Times New Roman"/>
          <w:sz w:val="28"/>
          <w:szCs w:val="28"/>
        </w:rPr>
        <w:t>9</w:t>
      </w:r>
      <w:r w:rsidR="0004441B">
        <w:rPr>
          <w:rFonts w:ascii="Times New Roman" w:hAnsi="Times New Roman" w:cs="Times New Roman"/>
          <w:sz w:val="28"/>
          <w:szCs w:val="28"/>
        </w:rPr>
        <w:t>9</w:t>
      </w:r>
      <w:r w:rsidR="00C20BA2">
        <w:rPr>
          <w:rFonts w:ascii="Times New Roman" w:hAnsi="Times New Roman" w:cs="Times New Roman"/>
          <w:sz w:val="28"/>
          <w:szCs w:val="28"/>
        </w:rPr>
        <w:t>,</w:t>
      </w:r>
      <w:r w:rsidR="0004441B">
        <w:rPr>
          <w:rFonts w:ascii="Times New Roman" w:hAnsi="Times New Roman" w:cs="Times New Roman"/>
          <w:sz w:val="28"/>
          <w:szCs w:val="28"/>
        </w:rPr>
        <w:t>1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3807AC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</w:t>
      </w:r>
      <w:r w:rsidR="003807AC">
        <w:rPr>
          <w:rFonts w:ascii="Times New Roman" w:hAnsi="Times New Roman" w:cs="Times New Roman"/>
          <w:sz w:val="28"/>
          <w:szCs w:val="28"/>
        </w:rPr>
        <w:t>2019-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3807AC">
        <w:rPr>
          <w:rFonts w:ascii="Times New Roman" w:hAnsi="Times New Roman" w:cs="Times New Roman"/>
          <w:sz w:val="28"/>
          <w:szCs w:val="28"/>
        </w:rPr>
        <w:t>0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3807AC">
        <w:rPr>
          <w:rFonts w:ascii="Times New Roman" w:hAnsi="Times New Roman" w:cs="Times New Roman"/>
          <w:sz w:val="28"/>
          <w:szCs w:val="28"/>
        </w:rPr>
        <w:t>164,8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3807AC">
        <w:rPr>
          <w:rFonts w:ascii="Times New Roman" w:hAnsi="Times New Roman" w:cs="Times New Roman"/>
          <w:sz w:val="28"/>
          <w:szCs w:val="28"/>
        </w:rPr>
        <w:t xml:space="preserve"> и</w:t>
      </w:r>
      <w:r w:rsidRPr="002F7917">
        <w:rPr>
          <w:rFonts w:ascii="Times New Roman" w:hAnsi="Times New Roman" w:cs="Times New Roman"/>
          <w:sz w:val="28"/>
          <w:szCs w:val="28"/>
        </w:rPr>
        <w:t>сполнено</w:t>
      </w:r>
      <w:r w:rsidR="00162E21">
        <w:rPr>
          <w:rFonts w:ascii="Times New Roman" w:hAnsi="Times New Roman" w:cs="Times New Roman"/>
          <w:sz w:val="28"/>
          <w:szCs w:val="28"/>
        </w:rPr>
        <w:t xml:space="preserve"> </w:t>
      </w:r>
      <w:r w:rsidR="003807AC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2E21">
        <w:rPr>
          <w:rFonts w:ascii="Times New Roman" w:hAnsi="Times New Roman" w:cs="Times New Roman"/>
          <w:sz w:val="28"/>
          <w:szCs w:val="28"/>
        </w:rPr>
        <w:t xml:space="preserve">до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162E21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807AC">
        <w:rPr>
          <w:rFonts w:ascii="Times New Roman" w:hAnsi="Times New Roman" w:cs="Times New Roman"/>
          <w:sz w:val="28"/>
          <w:szCs w:val="28"/>
        </w:rPr>
        <w:t>924,7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3807AC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807AC">
        <w:rPr>
          <w:rFonts w:ascii="Times New Roman" w:hAnsi="Times New Roman" w:cs="Times New Roman"/>
          <w:sz w:val="28"/>
          <w:szCs w:val="28"/>
        </w:rPr>
        <w:t>273,0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162E21">
        <w:rPr>
          <w:rFonts w:ascii="Times New Roman" w:hAnsi="Times New Roman" w:cs="Times New Roman"/>
          <w:sz w:val="28"/>
          <w:szCs w:val="28"/>
        </w:rPr>
        <w:t>9</w:t>
      </w:r>
      <w:r w:rsidR="003807AC">
        <w:rPr>
          <w:rFonts w:ascii="Times New Roman" w:hAnsi="Times New Roman" w:cs="Times New Roman"/>
          <w:sz w:val="28"/>
          <w:szCs w:val="28"/>
        </w:rPr>
        <w:t>5,7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807AC">
        <w:rPr>
          <w:rFonts w:ascii="Times New Roman" w:hAnsi="Times New Roman" w:cs="Times New Roman"/>
          <w:sz w:val="28"/>
          <w:szCs w:val="28"/>
        </w:rPr>
        <w:t>76,</w:t>
      </w:r>
      <w:r w:rsidR="00162E21">
        <w:rPr>
          <w:rFonts w:ascii="Times New Roman" w:hAnsi="Times New Roman" w:cs="Times New Roman"/>
          <w:sz w:val="28"/>
          <w:szCs w:val="28"/>
        </w:rPr>
        <w:t>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3807AC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BC540C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BC540C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C54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9B128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9B1283">
        <w:rPr>
          <w:rFonts w:ascii="Times New Roman" w:hAnsi="Times New Roman" w:cs="Times New Roman"/>
          <w:sz w:val="28"/>
          <w:szCs w:val="28"/>
        </w:rPr>
        <w:t>23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1283">
        <w:rPr>
          <w:rFonts w:ascii="Times New Roman" w:hAnsi="Times New Roman" w:cs="Times New Roman"/>
          <w:sz w:val="28"/>
          <w:szCs w:val="28"/>
        </w:rPr>
        <w:t>21</w:t>
      </w:r>
      <w:r w:rsidR="00A27A2F">
        <w:rPr>
          <w:rFonts w:ascii="Times New Roman" w:hAnsi="Times New Roman" w:cs="Times New Roman"/>
          <w:sz w:val="28"/>
          <w:szCs w:val="28"/>
        </w:rPr>
        <w:t>-</w:t>
      </w:r>
      <w:r w:rsidR="009B1283">
        <w:rPr>
          <w:rFonts w:ascii="Times New Roman" w:hAnsi="Times New Roman" w:cs="Times New Roman"/>
          <w:sz w:val="28"/>
          <w:szCs w:val="28"/>
        </w:rPr>
        <w:t>51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B128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5F347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-537,2</w:t>
            </w:r>
          </w:p>
        </w:tc>
        <w:tc>
          <w:tcPr>
            <w:tcW w:w="1808" w:type="dxa"/>
          </w:tcPr>
          <w:p w:rsidR="00D6136E" w:rsidRDefault="005F347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-492,7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250CC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3102,1</w:t>
            </w:r>
          </w:p>
        </w:tc>
        <w:tc>
          <w:tcPr>
            <w:tcW w:w="1843" w:type="dxa"/>
          </w:tcPr>
          <w:p w:rsidR="00D6136E" w:rsidRDefault="005F3476" w:rsidP="00A2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-3095,5</w:t>
            </w:r>
          </w:p>
        </w:tc>
        <w:tc>
          <w:tcPr>
            <w:tcW w:w="1808" w:type="dxa"/>
          </w:tcPr>
          <w:p w:rsidR="00D6136E" w:rsidRDefault="005F3476" w:rsidP="009A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-3037,5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5F347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3102,1</w:t>
            </w:r>
          </w:p>
        </w:tc>
        <w:tc>
          <w:tcPr>
            <w:tcW w:w="1843" w:type="dxa"/>
          </w:tcPr>
          <w:p w:rsidR="00D6136E" w:rsidRDefault="005F347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3632,7</w:t>
            </w:r>
          </w:p>
        </w:tc>
        <w:tc>
          <w:tcPr>
            <w:tcW w:w="1808" w:type="dxa"/>
          </w:tcPr>
          <w:p w:rsidR="00D6136E" w:rsidRDefault="005F347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3530,2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5F3476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5F347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r w:rsidR="005F3476">
        <w:rPr>
          <w:rFonts w:ascii="Times New Roman" w:hAnsi="Times New Roman" w:cs="Times New Roman"/>
          <w:sz w:val="28"/>
          <w:szCs w:val="28"/>
        </w:rPr>
        <w:t>дефицитом</w:t>
      </w:r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F3476">
        <w:rPr>
          <w:rFonts w:ascii="Times New Roman" w:hAnsi="Times New Roman" w:cs="Times New Roman"/>
          <w:sz w:val="28"/>
          <w:szCs w:val="28"/>
        </w:rPr>
        <w:t>492,7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3476">
        <w:rPr>
          <w:rFonts w:ascii="Times New Roman" w:hAnsi="Times New Roman" w:cs="Times New Roman"/>
          <w:color w:val="000000"/>
          <w:sz w:val="28"/>
          <w:szCs w:val="28"/>
        </w:rPr>
        <w:t>3037,5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5F3476">
        <w:rPr>
          <w:rFonts w:ascii="Times New Roman" w:hAnsi="Times New Roman" w:cs="Times New Roman"/>
          <w:color w:val="000000"/>
          <w:sz w:val="28"/>
          <w:szCs w:val="28"/>
        </w:rPr>
        <w:t>3095,5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476">
        <w:rPr>
          <w:rFonts w:ascii="Times New Roman" w:hAnsi="Times New Roman" w:cs="Times New Roman"/>
          <w:color w:val="000000"/>
          <w:sz w:val="28"/>
          <w:szCs w:val="28"/>
        </w:rPr>
        <w:t>3530,2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5F3476">
        <w:rPr>
          <w:rFonts w:ascii="Times New Roman" w:hAnsi="Times New Roman" w:cs="Times New Roman"/>
          <w:color w:val="000000"/>
          <w:sz w:val="28"/>
          <w:szCs w:val="28"/>
        </w:rPr>
        <w:t>3632,7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отрицательную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получаем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492,7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55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31509D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60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</w:t>
      </w:r>
      <w:r w:rsidR="00327D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31509D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proofErr w:type="spellStart"/>
      <w:r w:rsidR="00683ABC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3037,5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3530,2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97,1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="000C78F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>492,7</w:t>
      </w:r>
      <w:r w:rsidR="000C7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Фактов отражения недостоверных показателей не установлено. </w:t>
      </w:r>
    </w:p>
    <w:p w:rsidR="002F7917" w:rsidRPr="002F7917" w:rsidRDefault="00C2748B" w:rsidP="00AB169D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При проверке «Пояснительной записки» (ф. 0503160) выявлены замечания по вопросам отражения информации в разделах пояснительной записки, а также отсутствуют таблицы, прилагаемые к пояснительной записки, что нарушает </w:t>
      </w:r>
      <w:r w:rsidRPr="005C0979">
        <w:rPr>
          <w:sz w:val="28"/>
          <w:szCs w:val="28"/>
        </w:rPr>
        <w:lastRenderedPageBreak/>
        <w:t xml:space="preserve">требования, что нарушает требования пунктов 152, 153, 155, 156, 158, 159.1, </w:t>
      </w:r>
      <w:r w:rsidR="00AB169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0336"/>
    <w:rsid w:val="0000584D"/>
    <w:rsid w:val="00011383"/>
    <w:rsid w:val="00013671"/>
    <w:rsid w:val="0002296A"/>
    <w:rsid w:val="00024FDE"/>
    <w:rsid w:val="0004441B"/>
    <w:rsid w:val="0005508A"/>
    <w:rsid w:val="00063D8E"/>
    <w:rsid w:val="000806A2"/>
    <w:rsid w:val="000945D4"/>
    <w:rsid w:val="00095EC5"/>
    <w:rsid w:val="000B51E3"/>
    <w:rsid w:val="000B700D"/>
    <w:rsid w:val="000C78F3"/>
    <w:rsid w:val="000E09A1"/>
    <w:rsid w:val="000E1809"/>
    <w:rsid w:val="000E5469"/>
    <w:rsid w:val="000F1986"/>
    <w:rsid w:val="000F57EC"/>
    <w:rsid w:val="001034DD"/>
    <w:rsid w:val="001132E1"/>
    <w:rsid w:val="00122AD1"/>
    <w:rsid w:val="00124E86"/>
    <w:rsid w:val="00126772"/>
    <w:rsid w:val="00144DED"/>
    <w:rsid w:val="0016165A"/>
    <w:rsid w:val="00162E21"/>
    <w:rsid w:val="00165019"/>
    <w:rsid w:val="001719D1"/>
    <w:rsid w:val="00183F35"/>
    <w:rsid w:val="001A7984"/>
    <w:rsid w:val="001C117D"/>
    <w:rsid w:val="001C494D"/>
    <w:rsid w:val="001D05F6"/>
    <w:rsid w:val="001D7E82"/>
    <w:rsid w:val="00211020"/>
    <w:rsid w:val="00215A0C"/>
    <w:rsid w:val="00233E8E"/>
    <w:rsid w:val="00241C50"/>
    <w:rsid w:val="00250CCB"/>
    <w:rsid w:val="00260DDE"/>
    <w:rsid w:val="0026131C"/>
    <w:rsid w:val="00270A9D"/>
    <w:rsid w:val="00280CFE"/>
    <w:rsid w:val="002961D8"/>
    <w:rsid w:val="002B3120"/>
    <w:rsid w:val="002C6B75"/>
    <w:rsid w:val="002E7493"/>
    <w:rsid w:val="002F0018"/>
    <w:rsid w:val="002F7917"/>
    <w:rsid w:val="00300DB9"/>
    <w:rsid w:val="00306A0C"/>
    <w:rsid w:val="0031509D"/>
    <w:rsid w:val="00320070"/>
    <w:rsid w:val="00320776"/>
    <w:rsid w:val="00327D65"/>
    <w:rsid w:val="003311DB"/>
    <w:rsid w:val="00341B40"/>
    <w:rsid w:val="00362662"/>
    <w:rsid w:val="00374455"/>
    <w:rsid w:val="00374B99"/>
    <w:rsid w:val="003778C8"/>
    <w:rsid w:val="003801A4"/>
    <w:rsid w:val="003807AC"/>
    <w:rsid w:val="003811D1"/>
    <w:rsid w:val="00386315"/>
    <w:rsid w:val="00393AE2"/>
    <w:rsid w:val="003966DC"/>
    <w:rsid w:val="003A1890"/>
    <w:rsid w:val="003C1C8A"/>
    <w:rsid w:val="003C206A"/>
    <w:rsid w:val="00445CE1"/>
    <w:rsid w:val="00446F1A"/>
    <w:rsid w:val="00473141"/>
    <w:rsid w:val="00481CDE"/>
    <w:rsid w:val="00486638"/>
    <w:rsid w:val="004C781C"/>
    <w:rsid w:val="00513629"/>
    <w:rsid w:val="00516813"/>
    <w:rsid w:val="005323D9"/>
    <w:rsid w:val="00557F8B"/>
    <w:rsid w:val="0057074E"/>
    <w:rsid w:val="00584035"/>
    <w:rsid w:val="005853E2"/>
    <w:rsid w:val="00594105"/>
    <w:rsid w:val="005A7147"/>
    <w:rsid w:val="005A75F9"/>
    <w:rsid w:val="005B4C70"/>
    <w:rsid w:val="005B7329"/>
    <w:rsid w:val="005B7F81"/>
    <w:rsid w:val="005C0979"/>
    <w:rsid w:val="005C62BA"/>
    <w:rsid w:val="005E40B9"/>
    <w:rsid w:val="005E7666"/>
    <w:rsid w:val="005F2492"/>
    <w:rsid w:val="005F3476"/>
    <w:rsid w:val="006108C8"/>
    <w:rsid w:val="006140B4"/>
    <w:rsid w:val="0061739C"/>
    <w:rsid w:val="00620A00"/>
    <w:rsid w:val="00644861"/>
    <w:rsid w:val="00644A18"/>
    <w:rsid w:val="006560A9"/>
    <w:rsid w:val="0065610C"/>
    <w:rsid w:val="00664BD2"/>
    <w:rsid w:val="00665D25"/>
    <w:rsid w:val="0067611B"/>
    <w:rsid w:val="00681E33"/>
    <w:rsid w:val="00683ABC"/>
    <w:rsid w:val="00683D34"/>
    <w:rsid w:val="006A0544"/>
    <w:rsid w:val="006C4B63"/>
    <w:rsid w:val="006D1745"/>
    <w:rsid w:val="006E3E62"/>
    <w:rsid w:val="006E5917"/>
    <w:rsid w:val="006F13C9"/>
    <w:rsid w:val="007029CD"/>
    <w:rsid w:val="00727BE6"/>
    <w:rsid w:val="00743512"/>
    <w:rsid w:val="00775441"/>
    <w:rsid w:val="007810EF"/>
    <w:rsid w:val="00782369"/>
    <w:rsid w:val="007B2F68"/>
    <w:rsid w:val="007C4DCF"/>
    <w:rsid w:val="007E22A7"/>
    <w:rsid w:val="00865096"/>
    <w:rsid w:val="00867AD5"/>
    <w:rsid w:val="008864C9"/>
    <w:rsid w:val="008B2E2C"/>
    <w:rsid w:val="008B470D"/>
    <w:rsid w:val="008E6C24"/>
    <w:rsid w:val="00905BD4"/>
    <w:rsid w:val="009247B2"/>
    <w:rsid w:val="00931B03"/>
    <w:rsid w:val="009451FC"/>
    <w:rsid w:val="00962614"/>
    <w:rsid w:val="009A3ABF"/>
    <w:rsid w:val="009B0D2C"/>
    <w:rsid w:val="009B1283"/>
    <w:rsid w:val="009C48C6"/>
    <w:rsid w:val="009C4B1E"/>
    <w:rsid w:val="009D250C"/>
    <w:rsid w:val="009E2EF9"/>
    <w:rsid w:val="009F102F"/>
    <w:rsid w:val="00A00C38"/>
    <w:rsid w:val="00A06BC7"/>
    <w:rsid w:val="00A0758E"/>
    <w:rsid w:val="00A10E26"/>
    <w:rsid w:val="00A27487"/>
    <w:rsid w:val="00A27A2F"/>
    <w:rsid w:val="00A60842"/>
    <w:rsid w:val="00A66627"/>
    <w:rsid w:val="00AB169D"/>
    <w:rsid w:val="00AB19A4"/>
    <w:rsid w:val="00AC2F41"/>
    <w:rsid w:val="00AD3D96"/>
    <w:rsid w:val="00AD5F5D"/>
    <w:rsid w:val="00AE2F5B"/>
    <w:rsid w:val="00AE326C"/>
    <w:rsid w:val="00AF39F5"/>
    <w:rsid w:val="00B037C4"/>
    <w:rsid w:val="00B044B5"/>
    <w:rsid w:val="00B1454F"/>
    <w:rsid w:val="00B165D2"/>
    <w:rsid w:val="00B228B2"/>
    <w:rsid w:val="00B22B23"/>
    <w:rsid w:val="00B33466"/>
    <w:rsid w:val="00B41E57"/>
    <w:rsid w:val="00B46460"/>
    <w:rsid w:val="00B466AE"/>
    <w:rsid w:val="00B541AE"/>
    <w:rsid w:val="00B969BE"/>
    <w:rsid w:val="00BA683F"/>
    <w:rsid w:val="00BA796F"/>
    <w:rsid w:val="00BB48B7"/>
    <w:rsid w:val="00BC0290"/>
    <w:rsid w:val="00BC540C"/>
    <w:rsid w:val="00BC5F28"/>
    <w:rsid w:val="00BD6EE4"/>
    <w:rsid w:val="00BF0A0C"/>
    <w:rsid w:val="00BF1AF5"/>
    <w:rsid w:val="00C01B65"/>
    <w:rsid w:val="00C02579"/>
    <w:rsid w:val="00C20BA2"/>
    <w:rsid w:val="00C2748B"/>
    <w:rsid w:val="00C31EDD"/>
    <w:rsid w:val="00C64764"/>
    <w:rsid w:val="00C80913"/>
    <w:rsid w:val="00CB611E"/>
    <w:rsid w:val="00CB7D9D"/>
    <w:rsid w:val="00CD69C2"/>
    <w:rsid w:val="00CF4BEC"/>
    <w:rsid w:val="00CF7191"/>
    <w:rsid w:val="00D32B3B"/>
    <w:rsid w:val="00D60668"/>
    <w:rsid w:val="00D6136E"/>
    <w:rsid w:val="00D67AC2"/>
    <w:rsid w:val="00D73E50"/>
    <w:rsid w:val="00D80466"/>
    <w:rsid w:val="00DA72BE"/>
    <w:rsid w:val="00DC1A7E"/>
    <w:rsid w:val="00DC6941"/>
    <w:rsid w:val="00DE0BE5"/>
    <w:rsid w:val="00E04A2D"/>
    <w:rsid w:val="00E16128"/>
    <w:rsid w:val="00E226BC"/>
    <w:rsid w:val="00E23417"/>
    <w:rsid w:val="00E525E4"/>
    <w:rsid w:val="00E6584A"/>
    <w:rsid w:val="00E73793"/>
    <w:rsid w:val="00E976A2"/>
    <w:rsid w:val="00EA1F0A"/>
    <w:rsid w:val="00EA7588"/>
    <w:rsid w:val="00EB2F54"/>
    <w:rsid w:val="00EC4C8A"/>
    <w:rsid w:val="00ED164F"/>
    <w:rsid w:val="00EE354E"/>
    <w:rsid w:val="00EF0E6B"/>
    <w:rsid w:val="00EF763F"/>
    <w:rsid w:val="00F03A4C"/>
    <w:rsid w:val="00F23D0E"/>
    <w:rsid w:val="00F329C9"/>
    <w:rsid w:val="00F35D38"/>
    <w:rsid w:val="00F421CB"/>
    <w:rsid w:val="00F74351"/>
    <w:rsid w:val="00F825AB"/>
    <w:rsid w:val="00F87F9E"/>
    <w:rsid w:val="00F9558D"/>
    <w:rsid w:val="00FA0207"/>
    <w:rsid w:val="00FC36CB"/>
    <w:rsid w:val="00FD5302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paragraph" w:styleId="1">
    <w:name w:val="heading 1"/>
    <w:basedOn w:val="a"/>
    <w:next w:val="a"/>
    <w:link w:val="10"/>
    <w:qFormat/>
    <w:rsid w:val="000F5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7E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BD86-5AB3-41FF-946C-7AA665E2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2021-04-21T06:26:00Z</dcterms:created>
  <dcterms:modified xsi:type="dcterms:W3CDTF">2021-04-21T06:26:00Z</dcterms:modified>
</cp:coreProperties>
</file>