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A64CC0"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Новокраснянского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B2928"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A64CC0"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Новокраснянского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B2928"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C264F6">
      <w:pPr>
        <w:pStyle w:val="16"/>
        <w:tabs>
          <w:tab w:val="right" w:leader="dot" w:pos="9344"/>
        </w:tabs>
        <w:rPr>
          <w:rFonts w:asciiTheme="minorHAnsi" w:eastAsiaTheme="minorEastAsia" w:hAnsiTheme="minorHAnsi" w:cstheme="minorBidi"/>
          <w:b w:val="0"/>
          <w:bCs w:val="0"/>
          <w:caps w:val="0"/>
          <w:noProof/>
          <w:sz w:val="22"/>
          <w:szCs w:val="22"/>
          <w:lang w:eastAsia="ru-RU"/>
        </w:rPr>
      </w:pPr>
      <w:r w:rsidRPr="00C264F6">
        <w:fldChar w:fldCharType="begin"/>
      </w:r>
      <w:r w:rsidR="007F2D50" w:rsidRPr="00B90C87">
        <w:instrText xml:space="preserve"> TOC \o "1-3" \h \z \u </w:instrText>
      </w:r>
      <w:r w:rsidRPr="00C264F6">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C264F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C264F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A64CC0">
          <w:rPr>
            <w:rStyle w:val="a9"/>
            <w:noProof/>
          </w:rPr>
          <w:t>ных особенностей Новокраснянского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AB2928">
          <w:rPr>
            <w:rStyle w:val="a9"/>
            <w:noProof/>
          </w:rPr>
          <w:t>ия на территории Новокраснянского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C264F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C264F6">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C264F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19" w:history="1">
        <w:r w:rsidR="00A64CC0">
          <w:rPr>
            <w:rStyle w:val="a9"/>
            <w:rFonts w:eastAsia="Times New Roman" w:cs="Arial"/>
            <w:bCs/>
            <w:i/>
            <w:noProof/>
          </w:rPr>
          <w:t>Нормативные акты Новокраснянского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264F6">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264F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C264F6"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Местные нормативы гр</w:t>
      </w:r>
      <w:r w:rsidR="00A64CC0">
        <w:rPr>
          <w:lang w:val="ru-RU"/>
        </w:rPr>
        <w:t>адостроительного проектирования Новокраснянского</w:t>
      </w:r>
      <w:r w:rsidR="00C66CE7" w:rsidRPr="00B90C87">
        <w:rPr>
          <w:lang w:val="ru-RU"/>
        </w:rPr>
        <w:t xml:space="preserve"> мун</w:t>
      </w:r>
      <w:r w:rsidR="00C66CE7" w:rsidRPr="00B90C87">
        <w:rPr>
          <w:lang w:val="ru-RU"/>
        </w:rPr>
        <w:t>и</w:t>
      </w:r>
      <w:r w:rsidR="00C66CE7" w:rsidRPr="00B90C87">
        <w:rPr>
          <w:lang w:val="ru-RU"/>
        </w:rPr>
        <w:t xml:space="preserve">ципального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A64CC0">
        <w:rPr>
          <w:lang w:val="ru-RU"/>
        </w:rPr>
        <w:t>Новокраснянское</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A64CC0">
        <w:rPr>
          <w:lang w:val="ru-RU"/>
        </w:rPr>
        <w:t>Новокраснянского</w:t>
      </w:r>
      <w:r w:rsidR="00502400" w:rsidRPr="00B90C87">
        <w:rPr>
          <w:lang w:val="ru-RU"/>
        </w:rPr>
        <w:t xml:space="preserve"> мун</w:t>
      </w:r>
      <w:r w:rsidR="00502400" w:rsidRPr="00B90C87">
        <w:rPr>
          <w:lang w:val="ru-RU"/>
        </w:rPr>
        <w:t>и</w:t>
      </w:r>
      <w:r w:rsidR="00502400" w:rsidRPr="00B90C87">
        <w:rPr>
          <w:lang w:val="ru-RU"/>
        </w:rPr>
        <w:t xml:space="preserve">ципального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A64CC0">
        <w:rPr>
          <w:lang w:val="ru-RU"/>
        </w:rPr>
        <w:t>Новокраснянского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w:t>
      </w:r>
      <w:r>
        <w:rPr>
          <w:lang w:val="ru-RU"/>
        </w:rPr>
        <w:t>о</w:t>
      </w:r>
      <w:r>
        <w:rPr>
          <w:lang w:val="ru-RU"/>
        </w:rPr>
        <w:t>товлены</w:t>
      </w:r>
      <w:r w:rsidRPr="00EC5F7F">
        <w:rPr>
          <w:lang w:val="ru-RU"/>
        </w:rPr>
        <w:t xml:space="preserve"> с учетом </w:t>
      </w:r>
      <w:r w:rsidRPr="001A744F">
        <w:rPr>
          <w:lang w:val="ru-RU"/>
        </w:rPr>
        <w:t>социально-демографического состава и плотности населения на терр</w:t>
      </w:r>
      <w:r w:rsidRPr="001A744F">
        <w:rPr>
          <w:lang w:val="ru-RU"/>
        </w:rPr>
        <w:t>и</w:t>
      </w:r>
      <w:r w:rsidRPr="001A744F">
        <w:rPr>
          <w:lang w:val="ru-RU"/>
        </w:rPr>
        <w:t>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A64CC0">
        <w:rPr>
          <w:lang w:val="ru-RU"/>
        </w:rPr>
        <w:t>Новокраснянского</w:t>
      </w:r>
      <w:r w:rsidR="00502400" w:rsidRPr="00B90C87">
        <w:rPr>
          <w:lang w:val="ru-RU"/>
        </w:rPr>
        <w:t xml:space="preserve"> мун</w:t>
      </w:r>
      <w:r w:rsidR="00502400" w:rsidRPr="00B90C87">
        <w:rPr>
          <w:lang w:val="ru-RU"/>
        </w:rPr>
        <w:t>и</w:t>
      </w:r>
      <w:r w:rsidR="00502400" w:rsidRPr="00B90C87">
        <w:rPr>
          <w:lang w:val="ru-RU"/>
        </w:rPr>
        <w:t xml:space="preserve">ципального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A64CC0">
        <w:rPr>
          <w:lang w:val="ru-RU"/>
        </w:rPr>
        <w:t>Новокраснянского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DF5176">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14784D">
        <w:t>Новокраснянского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w:t>
      </w:r>
      <w:r w:rsidRPr="00B90C87">
        <w:t>н</w:t>
      </w:r>
      <w:r w:rsidRPr="00B90C87">
        <w:t xml:space="preserve">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A64CC0">
              <w:rPr>
                <w:sz w:val="20"/>
                <w:szCs w:val="20"/>
                <w:lang w:val="ru-RU"/>
              </w:rPr>
              <w:t>село Новая Краснянка.</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A64CC0">
        <w:t>Новокраснянского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780E87">
        <w:t>Новокраснянского</w:t>
      </w:r>
      <w:r w:rsidR="007E0E38">
        <w:t xml:space="preserve"> </w:t>
      </w:r>
      <w:r w:rsidRPr="00B90C87">
        <w:t>МО</w:t>
      </w:r>
      <w:r w:rsidRPr="0007180C">
        <w:rPr>
          <w:szCs w:val="24"/>
        </w:rPr>
        <w:t xml:space="preserve"> необходимо выполнять с учет</w:t>
      </w:r>
      <w:r w:rsidR="007E0E38">
        <w:rPr>
          <w:szCs w:val="24"/>
        </w:rPr>
        <w:t>ом территори</w:t>
      </w:r>
      <w:r w:rsidR="00780E87">
        <w:rPr>
          <w:szCs w:val="24"/>
        </w:rPr>
        <w:t>альных особенностей Новокраснянского</w:t>
      </w:r>
      <w:r w:rsidR="00F3326F">
        <w:t xml:space="preserve"> </w:t>
      </w:r>
      <w:r w:rsidRPr="00483532">
        <w:t>муниципального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выраженных в соц</w:t>
      </w:r>
      <w:r w:rsidRPr="0007180C">
        <w:rPr>
          <w:szCs w:val="24"/>
        </w:rPr>
        <w:t>и</w:t>
      </w:r>
      <w:r w:rsidRPr="0007180C">
        <w:rPr>
          <w:szCs w:val="24"/>
        </w:rPr>
        <w:t xml:space="preserve">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780E87">
        <w:t>Новокраснянского</w:t>
      </w:r>
      <w:r w:rsidR="00F3326F">
        <w:t xml:space="preserve"> </w:t>
      </w:r>
      <w:r>
        <w:t>муниципального образования</w:t>
      </w:r>
      <w:bookmarkEnd w:id="182"/>
      <w:bookmarkEnd w:id="183"/>
    </w:p>
    <w:p w:rsidR="00815779" w:rsidRDefault="00780E87" w:rsidP="00815779">
      <w:pPr>
        <w:rPr>
          <w:szCs w:val="24"/>
        </w:rPr>
      </w:pPr>
      <w:r>
        <w:rPr>
          <w:szCs w:val="24"/>
        </w:rPr>
        <w:t>Новокраснянское</w:t>
      </w:r>
      <w:r w:rsidR="00815779">
        <w:rPr>
          <w:szCs w:val="24"/>
        </w:rPr>
        <w:t xml:space="preserve"> м</w:t>
      </w:r>
      <w:r w:rsidR="00815779" w:rsidRPr="00864351">
        <w:rPr>
          <w:szCs w:val="24"/>
        </w:rPr>
        <w:t>униципальное образование</w:t>
      </w:r>
      <w:r w:rsidR="00815779">
        <w:rPr>
          <w:szCs w:val="24"/>
        </w:rPr>
        <w:t xml:space="preserve"> –</w:t>
      </w:r>
      <w:r>
        <w:rPr>
          <w:szCs w:val="24"/>
        </w:rPr>
        <w:t xml:space="preserve"> </w:t>
      </w:r>
      <w:r w:rsidR="00815779">
        <w:rPr>
          <w:szCs w:val="24"/>
        </w:rPr>
        <w:t>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780E87">
        <w:t>село Новая Краснянка.</w:t>
      </w:r>
    </w:p>
    <w:p w:rsidR="00296330" w:rsidRDefault="00296330" w:rsidP="00296330">
      <w:pPr>
        <w:rPr>
          <w:szCs w:val="24"/>
        </w:rPr>
      </w:pPr>
      <w:r>
        <w:t xml:space="preserve">Характеристика </w:t>
      </w:r>
      <w:r w:rsidR="00780E87">
        <w:rPr>
          <w:szCs w:val="24"/>
        </w:rPr>
        <w:t>Новокраснянского</w:t>
      </w:r>
      <w:r>
        <w:rPr>
          <w:szCs w:val="24"/>
        </w:rPr>
        <w:t xml:space="preserve"> муниципального образования представлена в таблице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AD3FD3" w:rsidP="00296330">
      <w:pPr>
        <w:spacing w:after="120"/>
        <w:ind w:firstLine="0"/>
        <w:jc w:val="center"/>
        <w:rPr>
          <w:b/>
          <w:i/>
          <w:lang w:eastAsia="ar-SA" w:bidi="en-US"/>
        </w:rPr>
      </w:pPr>
      <w:r>
        <w:rPr>
          <w:b/>
          <w:i/>
          <w:lang w:eastAsia="ar-SA" w:bidi="en-US"/>
        </w:rPr>
        <w:t>Характеристика</w:t>
      </w:r>
      <w:r w:rsidR="00780E87">
        <w:rPr>
          <w:b/>
          <w:i/>
          <w:lang w:eastAsia="ar-SA" w:bidi="en-US"/>
        </w:rPr>
        <w:t xml:space="preserve"> Новокраснянского</w:t>
      </w:r>
      <w:r w:rsidR="00296330" w:rsidRPr="00026C68">
        <w:rPr>
          <w:b/>
          <w:i/>
          <w:lang w:eastAsia="ar-SA" w:bidi="en-US"/>
        </w:rPr>
        <w:t xml:space="preserve"> муниципального образования </w:t>
      </w:r>
      <w:r w:rsidR="00661532">
        <w:rPr>
          <w:b/>
          <w:i/>
          <w:lang w:eastAsia="ar-SA" w:bidi="en-US"/>
        </w:rPr>
        <w:t>Ершовск</w:t>
      </w:r>
      <w:r w:rsidR="00296330">
        <w:rPr>
          <w:b/>
          <w:i/>
          <w:lang w:eastAsia="ar-SA" w:bidi="en-US"/>
        </w:rPr>
        <w:t>ого</w:t>
      </w:r>
      <w:r w:rsidR="00F3326F">
        <w:rPr>
          <w:b/>
          <w:i/>
          <w:lang w:eastAsia="ar-SA" w:bidi="en-US"/>
        </w:rPr>
        <w:t xml:space="preserve"> </w:t>
      </w:r>
      <w:r w:rsidR="00296330">
        <w:rPr>
          <w:b/>
          <w:i/>
          <w:lang w:eastAsia="ar-SA" w:bidi="en-US"/>
        </w:rPr>
        <w:t>мун</w:t>
      </w:r>
      <w:r w:rsidR="00296330">
        <w:rPr>
          <w:b/>
          <w:i/>
          <w:lang w:eastAsia="ar-SA" w:bidi="en-US"/>
        </w:rPr>
        <w:t>и</w:t>
      </w:r>
      <w:r w:rsidR="00296330">
        <w:rPr>
          <w:b/>
          <w:i/>
          <w:lang w:eastAsia="ar-SA" w:bidi="en-US"/>
        </w:rPr>
        <w:t>ципального района Саратовской области (по данным статистики на 01.01.</w:t>
      </w:r>
      <w:r w:rsidR="00F966BA">
        <w:rPr>
          <w:b/>
          <w:i/>
          <w:lang w:eastAsia="ar-SA" w:bidi="en-US"/>
        </w:rPr>
        <w:t>2018</w:t>
      </w:r>
      <w:r w:rsidR="00296330">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780E87"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Новокраснянское</w:t>
            </w:r>
            <w:r w:rsidR="00C9536E" w:rsidRPr="00C9536E">
              <w:rPr>
                <w:rFonts w:eastAsia="Calibri"/>
                <w:b/>
                <w:i/>
                <w:iCs/>
                <w:szCs w:val="24"/>
                <w:lang w:eastAsia="en-US" w:bidi="en-US"/>
              </w:rPr>
              <w:t xml:space="preserve"> мун</w:t>
            </w:r>
            <w:r w:rsidR="00C9536E" w:rsidRPr="00C9536E">
              <w:rPr>
                <w:rFonts w:eastAsia="Calibri"/>
                <w:b/>
                <w:i/>
                <w:iCs/>
                <w:szCs w:val="24"/>
                <w:lang w:eastAsia="en-US" w:bidi="en-US"/>
              </w:rPr>
              <w:t>и</w:t>
            </w:r>
            <w:r w:rsidR="00C9536E" w:rsidRPr="00C9536E">
              <w:rPr>
                <w:rFonts w:eastAsia="Calibri"/>
                <w:b/>
                <w:i/>
                <w:iCs/>
                <w:szCs w:val="24"/>
                <w:lang w:eastAsia="en-US" w:bidi="en-US"/>
              </w:rPr>
              <w:t>ципальное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780E87" w:rsidP="00C9536E">
            <w:pPr>
              <w:ind w:firstLine="0"/>
              <w:jc w:val="left"/>
              <w:rPr>
                <w:szCs w:val="24"/>
              </w:rPr>
            </w:pPr>
            <w:r>
              <w:rPr>
                <w:szCs w:val="24"/>
              </w:rPr>
              <w:t>Село Новая Краснянка</w:t>
            </w:r>
          </w:p>
        </w:tc>
        <w:tc>
          <w:tcPr>
            <w:tcW w:w="1134" w:type="dxa"/>
          </w:tcPr>
          <w:p w:rsidR="00C9536E" w:rsidRPr="00C9536E" w:rsidRDefault="00780E87" w:rsidP="00C9536E">
            <w:pPr>
              <w:ind w:firstLine="0"/>
              <w:jc w:val="center"/>
              <w:rPr>
                <w:szCs w:val="24"/>
              </w:rPr>
            </w:pPr>
            <w:r>
              <w:rPr>
                <w:szCs w:val="24"/>
              </w:rPr>
              <w:t>4</w:t>
            </w:r>
          </w:p>
        </w:tc>
        <w:tc>
          <w:tcPr>
            <w:tcW w:w="992" w:type="dxa"/>
          </w:tcPr>
          <w:p w:rsidR="00C9536E" w:rsidRPr="00603DAC" w:rsidRDefault="00780E87" w:rsidP="00C9536E">
            <w:pPr>
              <w:ind w:firstLine="0"/>
              <w:jc w:val="center"/>
              <w:rPr>
                <w:szCs w:val="24"/>
              </w:rPr>
            </w:pPr>
            <w:r>
              <w:rPr>
                <w:szCs w:val="24"/>
              </w:rPr>
              <w:t>1747</w:t>
            </w:r>
          </w:p>
        </w:tc>
        <w:tc>
          <w:tcPr>
            <w:tcW w:w="851" w:type="dxa"/>
          </w:tcPr>
          <w:p w:rsidR="00C9536E" w:rsidRPr="00603DAC" w:rsidRDefault="00120B54" w:rsidP="00C9536E">
            <w:pPr>
              <w:ind w:firstLine="0"/>
              <w:jc w:val="center"/>
              <w:rPr>
                <w:szCs w:val="24"/>
              </w:rPr>
            </w:pPr>
            <w:r>
              <w:rPr>
                <w:szCs w:val="24"/>
              </w:rPr>
              <w:t>19793</w:t>
            </w:r>
          </w:p>
        </w:tc>
        <w:tc>
          <w:tcPr>
            <w:tcW w:w="1134" w:type="dxa"/>
          </w:tcPr>
          <w:p w:rsidR="00C9536E" w:rsidRPr="00A20C96" w:rsidRDefault="00C9536E" w:rsidP="00C9536E">
            <w:pPr>
              <w:ind w:firstLine="0"/>
              <w:jc w:val="center"/>
              <w:rPr>
                <w:szCs w:val="24"/>
              </w:rPr>
            </w:pPr>
          </w:p>
        </w:tc>
      </w:tr>
    </w:tbl>
    <w:bookmarkEnd w:id="187"/>
    <w:p w:rsidR="00296330" w:rsidRDefault="00296330" w:rsidP="00296330">
      <w:pPr>
        <w:spacing w:before="120"/>
      </w:pPr>
      <w:r w:rsidRPr="005449F4">
        <w:t xml:space="preserve">В состав </w:t>
      </w:r>
      <w:r w:rsidR="00780E87">
        <w:t>Новокраснянского</w:t>
      </w:r>
      <w:r>
        <w:t xml:space="preserve"> муниципального образования</w:t>
      </w:r>
      <w:r w:rsidRPr="005449F4">
        <w:t xml:space="preserve"> вход</w:t>
      </w:r>
      <w:r>
        <w:t>я</w:t>
      </w:r>
      <w:r w:rsidRPr="005449F4">
        <w:t>т</w:t>
      </w:r>
      <w:r w:rsidR="00780E87">
        <w:t xml:space="preserve"> 4</w:t>
      </w:r>
      <w:r>
        <w:t xml:space="preserve"> сельских</w:t>
      </w:r>
      <w:r w:rsidRPr="005449F4">
        <w:t xml:space="preserve"> нас</w:t>
      </w:r>
      <w:r w:rsidRPr="005449F4">
        <w:t>е</w:t>
      </w:r>
      <w:r w:rsidRPr="005449F4">
        <w:t>ленны</w:t>
      </w:r>
      <w:r>
        <w:t xml:space="preserve">х </w:t>
      </w:r>
      <w:r w:rsidRPr="005449F4">
        <w:t>пункт</w:t>
      </w:r>
      <w:r w:rsidR="0089578D">
        <w:t>ов</w:t>
      </w:r>
      <w:r>
        <w:t>:</w:t>
      </w:r>
    </w:p>
    <w:p w:rsidR="00C9536E" w:rsidRPr="00C9536E" w:rsidRDefault="00780E87" w:rsidP="00C9536E">
      <w:pPr>
        <w:rPr>
          <w:szCs w:val="24"/>
        </w:rPr>
      </w:pPr>
      <w:r>
        <w:rPr>
          <w:szCs w:val="24"/>
        </w:rPr>
        <w:t>1) станция Жулидово;</w:t>
      </w:r>
    </w:p>
    <w:p w:rsidR="00DA318F" w:rsidRPr="00DA318F" w:rsidRDefault="00780E87" w:rsidP="00DA318F">
      <w:pPr>
        <w:rPr>
          <w:szCs w:val="24"/>
        </w:rPr>
      </w:pPr>
      <w:r>
        <w:rPr>
          <w:szCs w:val="24"/>
        </w:rPr>
        <w:t>2) поселок Лесной;</w:t>
      </w:r>
    </w:p>
    <w:p w:rsidR="00F3326F" w:rsidRPr="00DA318F" w:rsidRDefault="00780E87" w:rsidP="00F3326F">
      <w:pPr>
        <w:rPr>
          <w:szCs w:val="24"/>
        </w:rPr>
      </w:pPr>
      <w:r>
        <w:rPr>
          <w:szCs w:val="24"/>
        </w:rPr>
        <w:t>3) село Новая Краснянка;</w:t>
      </w:r>
    </w:p>
    <w:p w:rsidR="00DA318F" w:rsidRDefault="00732F42" w:rsidP="00732F42">
      <w:pPr>
        <w:rPr>
          <w:szCs w:val="24"/>
        </w:rPr>
      </w:pPr>
      <w:r>
        <w:rPr>
          <w:szCs w:val="24"/>
        </w:rPr>
        <w:t xml:space="preserve">4) </w:t>
      </w:r>
      <w:r w:rsidR="00780E87">
        <w:rPr>
          <w:szCs w:val="24"/>
        </w:rPr>
        <w:t>село Сокорная Балка</w:t>
      </w:r>
    </w:p>
    <w:p w:rsidR="00D919C9" w:rsidRPr="00DA318F" w:rsidRDefault="00D919C9" w:rsidP="00780E87">
      <w:pPr>
        <w:rPr>
          <w:szCs w:val="24"/>
        </w:rPr>
      </w:pPr>
    </w:p>
    <w:p w:rsidR="000C51D8" w:rsidRPr="00B90C87" w:rsidRDefault="00780E87" w:rsidP="00DA318F">
      <w:r>
        <w:t>Все населенные пункты Новокраснянского</w:t>
      </w:r>
      <w:r w:rsidR="00F3326F">
        <w:rPr>
          <w:szCs w:val="24"/>
        </w:rPr>
        <w:t xml:space="preserve"> </w:t>
      </w:r>
      <w:r w:rsidR="000C51D8" w:rsidRPr="00B90C87">
        <w:t>муниципального образования являются сельскими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lastRenderedPageBreak/>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AB2928">
        <w:rPr>
          <w:szCs w:val="24"/>
        </w:rPr>
        <w:t>Новокраснянского</w:t>
      </w:r>
      <w:r w:rsidR="00D919C9">
        <w:rPr>
          <w:szCs w:val="24"/>
        </w:rPr>
        <w:t xml:space="preserve"> </w:t>
      </w:r>
      <w:r w:rsidR="009B49CF" w:rsidRPr="00B90C87">
        <w:rPr>
          <w:szCs w:val="24"/>
        </w:rPr>
        <w:t xml:space="preserve">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w:t>
      </w:r>
      <w:r w:rsidRPr="00B90C87">
        <w:rPr>
          <w:szCs w:val="24"/>
        </w:rPr>
        <w:t>а</w:t>
      </w:r>
      <w:r w:rsidRPr="00B90C87">
        <w:rPr>
          <w:szCs w:val="24"/>
        </w:rPr>
        <w:t>тистики</w:t>
      </w:r>
      <w:r w:rsidRPr="009E6619">
        <w:rPr>
          <w:szCs w:val="24"/>
        </w:rPr>
        <w:t xml:space="preserve"> </w:t>
      </w:r>
      <w:r w:rsidR="0040152C">
        <w:rPr>
          <w:szCs w:val="24"/>
        </w:rPr>
        <w:t>1747</w:t>
      </w:r>
      <w:r w:rsidR="001B7893">
        <w:rPr>
          <w:szCs w:val="24"/>
        </w:rPr>
        <w:t xml:space="preserve"> человек.</w:t>
      </w:r>
    </w:p>
    <w:p w:rsidR="00001CB2" w:rsidRPr="00B90C87" w:rsidRDefault="00001CB2" w:rsidP="009E6619">
      <w:pPr>
        <w:ind w:firstLine="0"/>
        <w:rPr>
          <w:szCs w:val="24"/>
        </w:rPr>
      </w:pPr>
      <w:r w:rsidRPr="00B90C87">
        <w:rPr>
          <w:szCs w:val="24"/>
        </w:rPr>
        <w:t xml:space="preserve">Численность населения </w:t>
      </w:r>
      <w:r w:rsidR="0040152C">
        <w:rPr>
          <w:szCs w:val="24"/>
        </w:rPr>
        <w:t>Новокраснянского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w:t>
      </w:r>
      <w:r w:rsidR="009B49CF" w:rsidRPr="00B90C87">
        <w:rPr>
          <w:szCs w:val="24"/>
        </w:rPr>
        <w:t>у</w:t>
      </w:r>
      <w:r w:rsidR="009B49CF" w:rsidRPr="00B90C87">
        <w:rPr>
          <w:szCs w:val="24"/>
        </w:rPr>
        <w:t>ниципального района</w:t>
      </w:r>
      <w:r w:rsidR="001B7893">
        <w:rPr>
          <w:szCs w:val="24"/>
        </w:rPr>
        <w:t xml:space="preserve"> </w:t>
      </w:r>
      <w:r w:rsidR="008102A0">
        <w:rPr>
          <w:szCs w:val="24"/>
        </w:rPr>
        <w:t xml:space="preserve">за </w:t>
      </w:r>
      <w:r w:rsidR="002E64BE" w:rsidRPr="00B90C87">
        <w:rPr>
          <w:szCs w:val="24"/>
        </w:rPr>
        <w:t xml:space="preserve">период </w:t>
      </w:r>
      <w:r w:rsidR="00D919C9">
        <w:rPr>
          <w:szCs w:val="24"/>
        </w:rPr>
        <w:t>2014</w:t>
      </w:r>
      <w:r w:rsidR="002E64BE" w:rsidRPr="00B90C87">
        <w:rPr>
          <w:szCs w:val="24"/>
        </w:rPr>
        <w:t>-201</w:t>
      </w:r>
      <w:r w:rsidR="00F966BA">
        <w:rPr>
          <w:szCs w:val="24"/>
        </w:rPr>
        <w:t>8</w:t>
      </w:r>
      <w:r w:rsidR="002E64BE" w:rsidRPr="00B90C87">
        <w:rPr>
          <w:szCs w:val="24"/>
        </w:rPr>
        <w:t xml:space="preserve"> гг. </w:t>
      </w:r>
      <w:r w:rsidR="0040152C">
        <w:rPr>
          <w:szCs w:val="24"/>
        </w:rPr>
        <w:t xml:space="preserve">уменьшилась на </w:t>
      </w:r>
      <w:r w:rsidR="00D919C9">
        <w:rPr>
          <w:szCs w:val="24"/>
        </w:rPr>
        <w:t xml:space="preserve"> </w:t>
      </w:r>
      <w:r w:rsidR="0040152C">
        <w:rPr>
          <w:szCs w:val="24"/>
        </w:rPr>
        <w:t xml:space="preserve">41 </w:t>
      </w:r>
      <w:r w:rsidR="00D919C9">
        <w:rPr>
          <w:szCs w:val="24"/>
        </w:rPr>
        <w:t>человек.</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40152C">
        <w:rPr>
          <w:lang w:val="ru-RU"/>
        </w:rPr>
        <w:t>Новокраснянского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40152C">
        <w:rPr>
          <w:lang w:val="ru-RU"/>
        </w:rPr>
        <w:t>а Новокраснянского</w:t>
      </w:r>
      <w:r w:rsidR="001B7893">
        <w:rPr>
          <w:lang w:val="ru-RU"/>
        </w:rPr>
        <w:t xml:space="preserve">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40152C">
        <w:rPr>
          <w:szCs w:val="23"/>
          <w:lang w:val="ru-RU"/>
        </w:rPr>
        <w:t>Нов</w:t>
      </w:r>
      <w:r w:rsidR="0040152C">
        <w:rPr>
          <w:szCs w:val="23"/>
          <w:lang w:val="ru-RU"/>
        </w:rPr>
        <w:t>о</w:t>
      </w:r>
      <w:r w:rsidR="0040152C">
        <w:rPr>
          <w:szCs w:val="23"/>
          <w:lang w:val="ru-RU"/>
        </w:rPr>
        <w:t>краснянского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w:t>
      </w:r>
      <w:r w:rsidRPr="00B90C87">
        <w:rPr>
          <w:szCs w:val="23"/>
          <w:lang w:val="ru-RU"/>
        </w:rPr>
        <w:t>а</w:t>
      </w:r>
      <w:r w:rsidRPr="00B90C87">
        <w:rPr>
          <w:szCs w:val="23"/>
          <w:lang w:val="ru-RU"/>
        </w:rPr>
        <w:t xml:space="preserve">жению в генеральном плане поселения, согласно ст. </w:t>
      </w:r>
      <w:r w:rsidRPr="00B90C87">
        <w:rPr>
          <w:lang w:val="ru-RU"/>
        </w:rPr>
        <w:t>23 Градостроительного кодекса Ро</w:t>
      </w:r>
      <w:r w:rsidRPr="00B90C87">
        <w:rPr>
          <w:lang w:val="ru-RU"/>
        </w:rPr>
        <w:t>с</w:t>
      </w:r>
      <w:r w:rsidRPr="00B90C87">
        <w:rPr>
          <w:lang w:val="ru-RU"/>
        </w:rPr>
        <w:t xml:space="preserve">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40152C">
        <w:rPr>
          <w:lang w:val="ru-RU"/>
        </w:rPr>
        <w:t>Н</w:t>
      </w:r>
      <w:r w:rsidR="0040152C">
        <w:rPr>
          <w:lang w:val="ru-RU"/>
        </w:rPr>
        <w:t>о</w:t>
      </w:r>
      <w:r w:rsidR="0040152C">
        <w:rPr>
          <w:lang w:val="ru-RU"/>
        </w:rPr>
        <w:t>вокраснянского</w:t>
      </w:r>
      <w:r w:rsidR="002415CC" w:rsidRPr="00B90C87">
        <w:rPr>
          <w:lang w:val="ru-RU"/>
        </w:rPr>
        <w:t xml:space="preserve"> МО, что также подтверждается Уставом </w:t>
      </w:r>
      <w:r w:rsidR="0040152C">
        <w:rPr>
          <w:lang w:val="ru-RU"/>
        </w:rPr>
        <w:t>Новокраснянского</w:t>
      </w:r>
      <w:r w:rsidR="002415CC" w:rsidRPr="00B90C87">
        <w:rPr>
          <w:lang w:val="ru-RU"/>
        </w:rPr>
        <w:t xml:space="preserve"> муниципал</w:t>
      </w:r>
      <w:r w:rsidR="002415CC" w:rsidRPr="00B90C87">
        <w:rPr>
          <w:lang w:val="ru-RU"/>
        </w:rPr>
        <w:t>ь</w:t>
      </w:r>
      <w:r w:rsidR="002415CC" w:rsidRPr="00B90C87">
        <w:rPr>
          <w:lang w:val="ru-RU"/>
        </w:rPr>
        <w:t>ного образования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225F07">
        <w:rPr>
          <w:lang w:val="ru-RU"/>
        </w:rPr>
        <w:t>Новокраснянского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120B54">
        <w:t>Новокраснянского</w:t>
      </w:r>
      <w:r>
        <w:t xml:space="preserve"> муниципального образования</w:t>
      </w:r>
      <w:r w:rsidRPr="004A6F51">
        <w:t xml:space="preserve">, являются объектами местного значения </w:t>
      </w:r>
      <w:r>
        <w:t>Ершовского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w:t>
      </w:r>
      <w:r w:rsidRPr="004A6F51">
        <w:t>т</w:t>
      </w:r>
      <w:r w:rsidRPr="004A6F51">
        <w:t>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sidR="009E6619">
              <w:rPr>
                <w:sz w:val="20"/>
                <w:szCs w:val="20"/>
                <w:lang w:val="ru-RU"/>
              </w:rPr>
              <w:t xml:space="preserve"> </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00120B54">
              <w:rPr>
                <w:sz w:val="20"/>
                <w:szCs w:val="20"/>
                <w:lang w:val="ru-RU"/>
              </w:rPr>
              <w:t xml:space="preserve"> </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w:t>
            </w:r>
            <w:r w:rsidR="009E6619">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120B54">
        <w:t>Новокраснянского</w:t>
      </w:r>
      <w:r>
        <w:t xml:space="preserve"> муниципального образования</w:t>
      </w:r>
      <w:r w:rsidRPr="004A6F51">
        <w:t xml:space="preserve">, являются объектами </w:t>
      </w:r>
      <w:r>
        <w:t>регионального</w:t>
      </w:r>
      <w:r w:rsidRPr="004A6F51">
        <w:t xml:space="preserve"> зн</w:t>
      </w:r>
      <w:r w:rsidRPr="004A6F51">
        <w:t>а</w:t>
      </w:r>
      <w:r w:rsidRPr="004A6F51">
        <w:t xml:space="preserve">чения </w:t>
      </w:r>
      <w:r>
        <w:t>Саратовской области</w:t>
      </w:r>
      <w:r w:rsidRPr="004A6F51">
        <w:t>, но включены в состав настоящих МНГП в связи</w:t>
      </w:r>
      <w:r>
        <w:t xml:space="preserve"> тем, что</w:t>
      </w:r>
      <w:r w:rsidRPr="004A6F51">
        <w:t xml:space="preserve"> это объекты повседневного обслуживания, выполняющие важные для комфортной жизнеде</w:t>
      </w:r>
      <w:r w:rsidRPr="004A6F51">
        <w:t>я</w:t>
      </w:r>
      <w:r w:rsidRPr="004A6F51">
        <w:t>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120B54">
        <w:t>Новокраснянского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w:t>
      </w:r>
      <w:r w:rsidRPr="00B90C87">
        <w:t>н</w:t>
      </w:r>
      <w:r w:rsidRPr="00B90C87">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9E6619">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AB2928">
              <w:rPr>
                <w:color w:val="auto"/>
                <w:sz w:val="20"/>
                <w:szCs w:val="20"/>
              </w:rPr>
              <w:t>Новая Краснянка</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w:t>
            </w:r>
            <w:r w:rsidRPr="00B90C87">
              <w:rPr>
                <w:color w:val="auto"/>
                <w:sz w:val="20"/>
                <w:szCs w:val="20"/>
              </w:rPr>
              <w:t>н</w:t>
            </w:r>
            <w:r w:rsidRPr="00B90C87">
              <w:rPr>
                <w:color w:val="auto"/>
                <w:sz w:val="20"/>
                <w:szCs w:val="20"/>
              </w:rPr>
              <w:t>культуры России от 02.08.2017 № Р-965 «Об утверждении Методич</w:t>
            </w:r>
            <w:r w:rsidRPr="00B90C87">
              <w:rPr>
                <w:color w:val="auto"/>
                <w:sz w:val="20"/>
                <w:szCs w:val="20"/>
              </w:rPr>
              <w:t>е</w:t>
            </w:r>
            <w:r w:rsidRPr="00B90C87">
              <w:rPr>
                <w:color w:val="auto"/>
                <w:sz w:val="20"/>
                <w:szCs w:val="20"/>
              </w:rPr>
              <w:t>ских рекомендаций субъектам Российской Федерации и органам мес</w:t>
            </w:r>
            <w:r w:rsidRPr="00B90C87">
              <w:rPr>
                <w:color w:val="auto"/>
                <w:sz w:val="20"/>
                <w:szCs w:val="20"/>
              </w:rPr>
              <w:t>т</w:t>
            </w:r>
            <w:r w:rsidRPr="00B90C87">
              <w:rPr>
                <w:color w:val="auto"/>
                <w:sz w:val="20"/>
                <w:szCs w:val="20"/>
              </w:rPr>
              <w:t>ного самоуправления по развитию сети организаций культуры и обе</w:t>
            </w:r>
            <w:r w:rsidRPr="00B90C87">
              <w:rPr>
                <w:color w:val="auto"/>
                <w:sz w:val="20"/>
                <w:szCs w:val="20"/>
              </w:rPr>
              <w:t>с</w:t>
            </w:r>
            <w:r w:rsidRPr="00B90C87">
              <w:rPr>
                <w:color w:val="auto"/>
                <w:sz w:val="20"/>
                <w:szCs w:val="20"/>
              </w:rPr>
              <w:t>печенности нас</w:t>
            </w:r>
            <w:r w:rsidRPr="00B90C87">
              <w:rPr>
                <w:color w:val="auto"/>
                <w:sz w:val="20"/>
                <w:szCs w:val="20"/>
              </w:rPr>
              <w:t>е</w:t>
            </w:r>
            <w:r w:rsidRPr="00B90C87">
              <w:rPr>
                <w:color w:val="auto"/>
                <w:sz w:val="20"/>
                <w:szCs w:val="20"/>
              </w:rPr>
              <w:t>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120B54">
              <w:rPr>
                <w:sz w:val="20"/>
                <w:szCs w:val="20"/>
                <w:lang w:val="ru-RU"/>
              </w:rPr>
              <w:t>Новокраснянского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120B54">
              <w:rPr>
                <w:i/>
                <w:sz w:val="20"/>
                <w:szCs w:val="20"/>
              </w:rPr>
              <w:t>Новокраснянскому</w:t>
            </w:r>
            <w:r>
              <w:rPr>
                <w:i/>
                <w:sz w:val="20"/>
                <w:szCs w:val="20"/>
              </w:rPr>
              <w:t xml:space="preserve"> МО </w:t>
            </w:r>
            <w:bookmarkEnd w:id="278"/>
            <w:bookmarkEnd w:id="279"/>
            <w:bookmarkEnd w:id="280"/>
            <w:r w:rsidRPr="00CC35FD">
              <w:rPr>
                <w:i/>
                <w:sz w:val="20"/>
                <w:szCs w:val="20"/>
              </w:rPr>
              <w:t>составляла по данным ст</w:t>
            </w:r>
            <w:r w:rsidRPr="00CC35FD">
              <w:rPr>
                <w:i/>
                <w:sz w:val="20"/>
                <w:szCs w:val="20"/>
              </w:rPr>
              <w:t>а</w:t>
            </w:r>
            <w:r w:rsidRPr="00CC35FD">
              <w:rPr>
                <w:i/>
                <w:sz w:val="20"/>
                <w:szCs w:val="20"/>
              </w:rPr>
              <w:t xml:space="preserve">тистики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w:t>
            </w:r>
            <w:r w:rsidRPr="00CC35FD">
              <w:rPr>
                <w:i/>
                <w:sz w:val="20"/>
                <w:szCs w:val="20"/>
              </w:rPr>
              <w:t>и</w:t>
            </w:r>
            <w:r w:rsidRPr="00CC35FD">
              <w:rPr>
                <w:i/>
                <w:sz w:val="20"/>
                <w:szCs w:val="20"/>
              </w:rPr>
              <w:t xml:space="preserve">телей </w:t>
            </w:r>
            <w:r w:rsidR="00120B54">
              <w:rPr>
                <w:i/>
                <w:sz w:val="20"/>
                <w:szCs w:val="20"/>
              </w:rPr>
              <w:t xml:space="preserve">Новокраснянского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120B54">
        <w:rPr>
          <w:lang w:val="ru-RU"/>
        </w:rPr>
        <w:t>Новокрасня</w:t>
      </w:r>
      <w:r w:rsidR="00120B54">
        <w:rPr>
          <w:lang w:val="ru-RU"/>
        </w:rPr>
        <w:t>н</w:t>
      </w:r>
      <w:r w:rsidR="00120B54">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w:t>
      </w:r>
      <w:r w:rsidRPr="00B90C87">
        <w:rPr>
          <w:lang w:val="ru-RU"/>
        </w:rPr>
        <w:t>т</w:t>
      </w:r>
      <w:r w:rsidRPr="00B90C87">
        <w:rPr>
          <w:lang w:val="ru-RU"/>
        </w:rPr>
        <w:t xml:space="preserve">ся на всю территорию </w:t>
      </w:r>
      <w:r w:rsidR="00120B54">
        <w:rPr>
          <w:lang w:val="ru-RU"/>
        </w:rPr>
        <w:t>Новокраснянского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w:t>
      </w:r>
      <w:r w:rsidR="009B49CF" w:rsidRPr="00B90C87">
        <w:rPr>
          <w:lang w:val="ru-RU"/>
        </w:rPr>
        <w:t>у</w:t>
      </w:r>
      <w:r w:rsidR="009B49CF" w:rsidRPr="00B90C87">
        <w:rPr>
          <w:lang w:val="ru-RU"/>
        </w:rPr>
        <w:t>ниципального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120B54">
        <w:rPr>
          <w:lang w:val="ru-RU"/>
        </w:rPr>
        <w:t>Новокраснянского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B90C87">
        <w:rPr>
          <w:lang w:val="ru-RU"/>
        </w:rPr>
        <w:t>е</w:t>
      </w:r>
      <w:r w:rsidR="00E52811" w:rsidRPr="00B90C87">
        <w:rPr>
          <w:lang w:val="ru-RU"/>
        </w:rPr>
        <w:t>ния сельского поселения, объектами благоустройства территории, иными объектами м</w:t>
      </w:r>
      <w:r w:rsidR="00E52811" w:rsidRPr="00B90C87">
        <w:rPr>
          <w:lang w:val="ru-RU"/>
        </w:rPr>
        <w:t>е</w:t>
      </w:r>
      <w:r w:rsidR="00E52811" w:rsidRPr="00B90C87">
        <w:rPr>
          <w:lang w:val="ru-RU"/>
        </w:rPr>
        <w:t>стного значения сельского поселения населения сельского поселения и расчетных показ</w:t>
      </w:r>
      <w:r w:rsidR="00E52811" w:rsidRPr="00B90C87">
        <w:rPr>
          <w:lang w:val="ru-RU"/>
        </w:rPr>
        <w:t>а</w:t>
      </w:r>
      <w:r w:rsidR="00E52811" w:rsidRPr="00B90C87">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120B54">
        <w:rPr>
          <w:lang w:val="ru-RU"/>
        </w:rPr>
        <w:t>Новокраснянского</w:t>
      </w:r>
      <w:r w:rsidR="00C66CE7" w:rsidRPr="00B90C87">
        <w:rPr>
          <w:lang w:val="ru-RU"/>
        </w:rPr>
        <w:t xml:space="preserve"> МО</w:t>
      </w:r>
      <w:r w:rsidRPr="00B90C87">
        <w:rPr>
          <w:lang w:val="ru-RU"/>
        </w:rPr>
        <w:t>, применяются при подготовке ген</w:t>
      </w:r>
      <w:r w:rsidRPr="00B90C87">
        <w:rPr>
          <w:lang w:val="ru-RU"/>
        </w:rPr>
        <w:t>е</w:t>
      </w:r>
      <w:r w:rsidRPr="00B90C87">
        <w:rPr>
          <w:lang w:val="ru-RU"/>
        </w:rPr>
        <w:t>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w:t>
      </w:r>
      <w:r w:rsidR="00E405BB" w:rsidRPr="00B90C87">
        <w:rPr>
          <w:lang w:val="ru-RU"/>
        </w:rPr>
        <w:t>о</w:t>
      </w:r>
      <w:r w:rsidR="00E405BB" w:rsidRPr="00B90C87">
        <w:rPr>
          <w:lang w:val="ru-RU"/>
        </w:rPr>
        <w:t>селения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120B54">
        <w:rPr>
          <w:lang w:val="ru-RU"/>
        </w:rPr>
        <w:t>Новокра</w:t>
      </w:r>
      <w:r w:rsidR="00120B54">
        <w:rPr>
          <w:lang w:val="ru-RU"/>
        </w:rPr>
        <w:t>с</w:t>
      </w:r>
      <w:r w:rsidR="00120B54">
        <w:rPr>
          <w:lang w:val="ru-RU"/>
        </w:rPr>
        <w:t xml:space="preserve">нянского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w:t>
      </w:r>
      <w:r w:rsidRPr="00B90C87">
        <w:rPr>
          <w:lang w:val="ru-RU"/>
        </w:rPr>
        <w:t>и</w:t>
      </w:r>
      <w:r w:rsidRPr="00B90C87">
        <w:rPr>
          <w:lang w:val="ru-RU"/>
        </w:rPr>
        <w:t>тывать расчетные показатели минимально допустимых площадей территорий, необход</w:t>
      </w:r>
      <w:r w:rsidRPr="00B90C87">
        <w:rPr>
          <w:lang w:val="ru-RU"/>
        </w:rPr>
        <w:t>и</w:t>
      </w:r>
      <w:r w:rsidRPr="00B90C87">
        <w:rPr>
          <w:lang w:val="ru-RU"/>
        </w:rPr>
        <w:t xml:space="preserve">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120B54">
        <w:t>Новокраснянского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w:t>
      </w:r>
      <w:r w:rsidR="006901E9" w:rsidRPr="00B90C87">
        <w:t>а</w:t>
      </w:r>
      <w:r w:rsidR="006901E9" w:rsidRPr="00B90C87">
        <w:t xml:space="preserve">новленные </w:t>
      </w:r>
      <w:r w:rsidRPr="00B90C87">
        <w:t xml:space="preserve">МНГП </w:t>
      </w:r>
      <w:r w:rsidR="00120B54">
        <w:t>Новокраснянского</w:t>
      </w:r>
      <w:r w:rsidRPr="00B90C87">
        <w:t xml:space="preserve"> МО</w:t>
      </w:r>
      <w:r w:rsidR="006901E9" w:rsidRPr="00B90C87">
        <w:t xml:space="preserve"> выше соответствующих предельных значений расчетных показателей, установленных РНГП Саратовской области. В случае</w:t>
      </w:r>
      <w:r w:rsidR="00DA730E" w:rsidRPr="00B90C87">
        <w:t>,</w:t>
      </w:r>
      <w:r w:rsidR="006901E9" w:rsidRPr="00B90C87">
        <w:t xml:space="preserve"> если ра</w:t>
      </w:r>
      <w:r w:rsidR="006901E9" w:rsidRPr="00B90C87">
        <w:t>с</w:t>
      </w:r>
      <w:r w:rsidR="006901E9" w:rsidRPr="00B90C87">
        <w:t xml:space="preserve">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00120B54">
        <w:t>МНГ</w:t>
      </w:r>
      <w:r w:rsidRPr="00B90C87">
        <w:t xml:space="preserve"> МО</w:t>
      </w:r>
      <w:r w:rsidR="006901E9" w:rsidRPr="00B90C87">
        <w:t>,</w:t>
      </w:r>
      <w:r w:rsidR="00120B54">
        <w:t xml:space="preserve"> </w:t>
      </w:r>
      <w:r w:rsidR="00120B54">
        <w:lastRenderedPageBreak/>
        <w:t>Новокраснянского</w:t>
      </w:r>
      <w:r w:rsidR="006901E9" w:rsidRPr="00B90C87">
        <w:t xml:space="preserve"> окажутся ниже уровня соответствующих предельных значений расче</w:t>
      </w:r>
      <w:r w:rsidR="006901E9" w:rsidRPr="00B90C87">
        <w:t>т</w:t>
      </w:r>
      <w:r w:rsidR="006901E9" w:rsidRPr="00B90C87">
        <w:t>ных показателей, установленных РНГП Саратовской области, то применяются предельные расчетные показатели РНГП Саратовской области.</w:t>
      </w:r>
    </w:p>
    <w:p w:rsidR="006901E9" w:rsidRPr="00B90C87" w:rsidRDefault="00C66CE7" w:rsidP="006901E9">
      <w:r w:rsidRPr="00B90C87">
        <w:t xml:space="preserve">МНГП </w:t>
      </w:r>
      <w:r w:rsidR="00120B54">
        <w:t>Новокраснянского</w:t>
      </w:r>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120B54">
        <w:t>Новокраснянского</w:t>
      </w:r>
      <w:r w:rsidRPr="00B90C87">
        <w:t xml:space="preserve"> МО</w:t>
      </w:r>
      <w:r w:rsidR="006901E9" w:rsidRPr="00B90C87">
        <w:t xml:space="preserve"> ниже соответствующих пр</w:t>
      </w:r>
      <w:r w:rsidR="006901E9" w:rsidRPr="00B90C87">
        <w:t>е</w:t>
      </w:r>
      <w:r w:rsidR="006901E9" w:rsidRPr="00B90C87">
        <w:t>дельных значений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120B54">
        <w:t>Новокраснянского</w:t>
      </w:r>
      <w:r w:rsidR="0094053C">
        <w:t xml:space="preserve"> </w:t>
      </w:r>
      <w:r w:rsidRPr="00B90C87">
        <w:t>МО</w:t>
      </w:r>
      <w:r w:rsidR="006901E9" w:rsidRPr="00B90C87">
        <w:t>, окажутся выше уровня соотве</w:t>
      </w:r>
      <w:r w:rsidR="006901E9" w:rsidRPr="00B90C87">
        <w:t>т</w:t>
      </w:r>
      <w:r w:rsidR="006901E9" w:rsidRPr="00B90C87">
        <w:t>ствующих предельных значений расчетных показателей, установленных РНГП Сарато</w:t>
      </w:r>
      <w:r w:rsidR="006901E9" w:rsidRPr="00B90C87">
        <w:t>в</w:t>
      </w:r>
      <w:r w:rsidR="006901E9" w:rsidRPr="00B90C87">
        <w:t>ской области, то применяются предельные расчетные показатели РНГП Саратовской о</w:t>
      </w:r>
      <w:r w:rsidR="006901E9" w:rsidRPr="00B90C87">
        <w:t>б</w:t>
      </w:r>
      <w:r w:rsidR="006901E9" w:rsidRPr="00B90C87">
        <w:t>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120B54">
        <w:rPr>
          <w:rFonts w:eastAsia="Times New Roman" w:cs="Arial"/>
          <w:bCs/>
          <w:i/>
          <w:szCs w:val="26"/>
        </w:rPr>
        <w:t>Новокраснянского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120B54" w:rsidRPr="00120B54" w:rsidRDefault="00815779" w:rsidP="00120B54">
      <w:pPr>
        <w:pStyle w:val="affb"/>
        <w:numPr>
          <w:ilvl w:val="0"/>
          <w:numId w:val="19"/>
        </w:numPr>
        <w:rPr>
          <w:szCs w:val="24"/>
        </w:rPr>
      </w:pPr>
      <w:bookmarkStart w:id="332" w:name="_Toc491920228"/>
      <w:bookmarkStart w:id="333" w:name="_Toc497484885"/>
      <w:r w:rsidRPr="002C727E">
        <w:t xml:space="preserve">Устав </w:t>
      </w:r>
      <w:r w:rsidR="00120B54">
        <w:t>Новокраснянского</w:t>
      </w:r>
      <w:r w:rsidRPr="002C727E">
        <w:t xml:space="preserve"> муниципального образования </w:t>
      </w:r>
      <w:r w:rsidR="00661532" w:rsidRPr="002C727E">
        <w:t>Ершовск</w:t>
      </w:r>
      <w:r w:rsidRPr="002C727E">
        <w:t>ого муниципал</w:t>
      </w:r>
      <w:r w:rsidRPr="002C727E">
        <w:t>ь</w:t>
      </w:r>
      <w:r w:rsidRPr="002C727E">
        <w:t>н</w:t>
      </w:r>
      <w:r w:rsidR="00E215B5" w:rsidRPr="002C727E">
        <w:t>ого района Саратовской области</w:t>
      </w:r>
      <w:r w:rsidR="00AC2554" w:rsidRPr="002C727E">
        <w:t xml:space="preserve"> (п</w:t>
      </w:r>
      <w:r w:rsidR="00AC2554" w:rsidRPr="00120B54">
        <w:rPr>
          <w:szCs w:val="24"/>
        </w:rPr>
        <w:t>ринят Ре</w:t>
      </w:r>
      <w:r w:rsidR="00AB2928">
        <w:rPr>
          <w:szCs w:val="24"/>
        </w:rPr>
        <w:t>шением Совета Новокраснянского</w:t>
      </w:r>
      <w:r w:rsidR="002C727E" w:rsidRPr="00120B54">
        <w:rPr>
          <w:szCs w:val="24"/>
        </w:rPr>
        <w:t xml:space="preserve"> м</w:t>
      </w:r>
      <w:r w:rsidR="002C727E" w:rsidRPr="00120B54">
        <w:rPr>
          <w:szCs w:val="24"/>
        </w:rPr>
        <w:t>у</w:t>
      </w:r>
      <w:r w:rsidR="002C727E" w:rsidRPr="00120B54">
        <w:rPr>
          <w:szCs w:val="24"/>
        </w:rPr>
        <w:t>ниципаль</w:t>
      </w:r>
      <w:r w:rsidR="00A20C96" w:rsidRPr="00120B54">
        <w:rPr>
          <w:szCs w:val="24"/>
        </w:rPr>
        <w:t>ного образования о</w:t>
      </w:r>
      <w:r w:rsidR="00120B54" w:rsidRPr="00120B54">
        <w:rPr>
          <w:szCs w:val="24"/>
        </w:rPr>
        <w:t>т 20.12.2005</w:t>
      </w:r>
      <w:r w:rsidR="002C727E" w:rsidRPr="00120B54">
        <w:rPr>
          <w:szCs w:val="24"/>
        </w:rPr>
        <w:t xml:space="preserve"> г.</w:t>
      </w:r>
      <w:r w:rsidR="00120B54" w:rsidRPr="00120B54">
        <w:rPr>
          <w:szCs w:val="24"/>
        </w:rPr>
        <w:t xml:space="preserve"> №4-14</w:t>
      </w:r>
      <w:r w:rsidR="002C727E" w:rsidRPr="00120B54">
        <w:rPr>
          <w:szCs w:val="24"/>
        </w:rPr>
        <w:t xml:space="preserve"> </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94053C">
        <w:rPr>
          <w:szCs w:val="24"/>
        </w:rPr>
        <w:t>Кушумского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w:t>
      </w:r>
      <w:r w:rsidRPr="00B90C87">
        <w:rPr>
          <w:szCs w:val="24"/>
        </w:rPr>
        <w:t>е</w:t>
      </w:r>
      <w:r w:rsidRPr="00B90C87">
        <w:rPr>
          <w:szCs w:val="24"/>
        </w:rPr>
        <w:t>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50096B">
              <w:rPr>
                <w:rFonts w:eastAsia="Times New Roman"/>
                <w:bCs/>
                <w:sz w:val="20"/>
                <w:szCs w:val="20"/>
              </w:rPr>
              <w:t>Новокрасня</w:t>
            </w:r>
            <w:r w:rsidR="0050096B">
              <w:rPr>
                <w:rFonts w:eastAsia="Times New Roman"/>
                <w:bCs/>
                <w:sz w:val="20"/>
                <w:szCs w:val="20"/>
              </w:rPr>
              <w:t>н</w:t>
            </w:r>
            <w:r w:rsidR="0050096B">
              <w:rPr>
                <w:rFonts w:eastAsia="Times New Roman"/>
                <w:bCs/>
                <w:sz w:val="20"/>
                <w:szCs w:val="20"/>
              </w:rPr>
              <w:t xml:space="preserve">ского </w:t>
            </w:r>
            <w:r w:rsidRPr="00B90C87">
              <w:rPr>
                <w:rFonts w:eastAsia="Times New Roman"/>
                <w:bCs/>
                <w:sz w:val="20"/>
                <w:szCs w:val="20"/>
              </w:rPr>
              <w:t>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50096B">
              <w:rPr>
                <w:rFonts w:eastAsia="Times New Roman"/>
                <w:sz w:val="20"/>
                <w:szCs w:val="20"/>
              </w:rPr>
              <w:t xml:space="preserve">Новокраснянского </w:t>
            </w:r>
            <w:r w:rsidR="005157FF" w:rsidRPr="00B90C87">
              <w:rPr>
                <w:rFonts w:eastAsia="Times New Roman"/>
                <w:sz w:val="20"/>
                <w:szCs w:val="20"/>
              </w:rPr>
              <w:t>муниципального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DD" w:rsidRDefault="005376DD" w:rsidP="004E778C">
      <w:r>
        <w:separator/>
      </w:r>
    </w:p>
  </w:endnote>
  <w:endnote w:type="continuationSeparator" w:id="1">
    <w:p w:rsidR="005376DD" w:rsidRDefault="005376DD"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4" w:rsidRDefault="00120B54"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DD" w:rsidRDefault="005376DD" w:rsidP="004E778C">
      <w:r>
        <w:separator/>
      </w:r>
    </w:p>
  </w:footnote>
  <w:footnote w:type="continuationSeparator" w:id="1">
    <w:p w:rsidR="005376DD" w:rsidRDefault="005376DD"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4" w:rsidRDefault="00120B5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Новокраснянского муниципального образования</w:t>
    </w:r>
  </w:p>
  <w:p w:rsidR="00120B54" w:rsidRDefault="00120B54"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120B54" w:rsidRPr="006072F5" w:rsidRDefault="00120B5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0B54"/>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4784D"/>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B7893"/>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5F07"/>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3721E"/>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8D6"/>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152C"/>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4DC"/>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6B"/>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6DD"/>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BB"/>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0D0"/>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0D2C"/>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04D0"/>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2F4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0E87"/>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5A6"/>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0E38"/>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3C"/>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69E9"/>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19"/>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0C96"/>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4CC0"/>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928"/>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74"/>
    <w:rsid w:val="00AC28FD"/>
    <w:rsid w:val="00AC52E5"/>
    <w:rsid w:val="00AC6038"/>
    <w:rsid w:val="00AC6394"/>
    <w:rsid w:val="00AC7C02"/>
    <w:rsid w:val="00AD06E9"/>
    <w:rsid w:val="00AD1454"/>
    <w:rsid w:val="00AD1907"/>
    <w:rsid w:val="00AD1C03"/>
    <w:rsid w:val="00AD1D20"/>
    <w:rsid w:val="00AD2B3F"/>
    <w:rsid w:val="00AD3FD3"/>
    <w:rsid w:val="00AD4844"/>
    <w:rsid w:val="00AD75BD"/>
    <w:rsid w:val="00AD7A0B"/>
    <w:rsid w:val="00AE0161"/>
    <w:rsid w:val="00AE129D"/>
    <w:rsid w:val="00AE12D1"/>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0D12"/>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4F6"/>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9C9"/>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176"/>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05"/>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1B6A"/>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96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D5D7-0222-41CF-B66F-09C5EBDF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10972</Words>
  <Characters>62541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31</cp:revision>
  <cp:lastPrinted>2017-11-03T16:55:00Z</cp:lastPrinted>
  <dcterms:created xsi:type="dcterms:W3CDTF">2018-08-16T07:53:00Z</dcterms:created>
  <dcterms:modified xsi:type="dcterms:W3CDTF">2019-06-13T07:13:00Z</dcterms:modified>
</cp:coreProperties>
</file>