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5" w:rsidRDefault="00595009" w:rsidP="009B2FE5">
      <w:pPr>
        <w:keepNext/>
        <w:ind w:left="7788" w:firstLine="708"/>
        <w:jc w:val="center"/>
      </w:pPr>
      <w:r>
        <w:t xml:space="preserve"> </w:t>
      </w:r>
    </w:p>
    <w:p w:rsidR="000A173A" w:rsidRDefault="000A173A" w:rsidP="000A173A">
      <w:pPr>
        <w:keepNext/>
        <w:jc w:val="center"/>
      </w:pPr>
      <w:r>
        <w:rPr>
          <w:noProof/>
        </w:rPr>
        <w:drawing>
          <wp:inline distT="0" distB="0" distL="0" distR="0">
            <wp:extent cx="572770" cy="66103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3A" w:rsidRDefault="000A173A" w:rsidP="000A173A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0A173A" w:rsidRDefault="000A173A" w:rsidP="000A173A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0A173A" w:rsidRDefault="000A173A" w:rsidP="000A173A">
      <w:pPr>
        <w:jc w:val="center"/>
        <w:rPr>
          <w:b/>
        </w:rPr>
      </w:pPr>
      <w:r>
        <w:rPr>
          <w:b/>
        </w:rPr>
        <w:t>САРАТОВСКОЙ ОБЛАСТИ</w:t>
      </w:r>
    </w:p>
    <w:p w:rsidR="000A173A" w:rsidRDefault="000A173A" w:rsidP="000A173A">
      <w:pPr>
        <w:jc w:val="center"/>
        <w:rPr>
          <w:b/>
        </w:rPr>
      </w:pPr>
    </w:p>
    <w:p w:rsidR="000A173A" w:rsidRDefault="000A173A" w:rsidP="000A173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A173A" w:rsidRDefault="000A173A" w:rsidP="000A173A">
      <w:pPr>
        <w:tabs>
          <w:tab w:val="left" w:pos="3834"/>
        </w:tabs>
        <w:ind w:firstLine="708"/>
        <w:rPr>
          <w:sz w:val="22"/>
        </w:rPr>
      </w:pPr>
      <w:r>
        <w:rPr>
          <w:sz w:val="22"/>
        </w:rPr>
        <w:t xml:space="preserve">                               </w:t>
      </w:r>
    </w:p>
    <w:p w:rsidR="000A173A" w:rsidRDefault="000A173A" w:rsidP="000A173A">
      <w:r>
        <w:rPr>
          <w:sz w:val="22"/>
        </w:rPr>
        <w:t>от __</w:t>
      </w:r>
      <w:r w:rsidR="00595009" w:rsidRPr="00595009">
        <w:rPr>
          <w:sz w:val="28"/>
          <w:szCs w:val="28"/>
          <w:u w:val="single"/>
        </w:rPr>
        <w:t>05.02.2020г.</w:t>
      </w:r>
      <w:r>
        <w:rPr>
          <w:sz w:val="22"/>
        </w:rPr>
        <w:t>_______ № ______</w:t>
      </w:r>
      <w:r w:rsidR="00595009" w:rsidRPr="00595009">
        <w:rPr>
          <w:sz w:val="28"/>
          <w:szCs w:val="28"/>
          <w:u w:val="single"/>
        </w:rPr>
        <w:t>102</w:t>
      </w:r>
      <w:r>
        <w:rPr>
          <w:sz w:val="22"/>
        </w:rPr>
        <w:t>___</w:t>
      </w:r>
    </w:p>
    <w:p w:rsidR="000A173A" w:rsidRDefault="000A173A" w:rsidP="000A173A">
      <w:pPr>
        <w:jc w:val="center"/>
        <w:rPr>
          <w:sz w:val="18"/>
        </w:rPr>
      </w:pPr>
      <w:r>
        <w:rPr>
          <w:sz w:val="18"/>
        </w:rPr>
        <w:t>г. Ершов</w:t>
      </w:r>
    </w:p>
    <w:p w:rsidR="000A173A" w:rsidRPr="001C627E" w:rsidRDefault="000A173A" w:rsidP="000A173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70"/>
      </w:tblGrid>
      <w:tr w:rsidR="000A173A" w:rsidRPr="00860799" w:rsidTr="008F06C6">
        <w:tc>
          <w:tcPr>
            <w:tcW w:w="5670" w:type="dxa"/>
          </w:tcPr>
          <w:p w:rsidR="000A173A" w:rsidRPr="0028380B" w:rsidRDefault="000A173A" w:rsidP="008F06C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в </w:t>
            </w:r>
            <w:r w:rsidRPr="00860799">
              <w:rPr>
                <w:rFonts w:eastAsia="Calibri"/>
                <w:sz w:val="28"/>
                <w:szCs w:val="28"/>
              </w:rPr>
              <w:t>муниципальн</w:t>
            </w:r>
            <w:r>
              <w:rPr>
                <w:rFonts w:eastAsia="Calibri"/>
                <w:sz w:val="28"/>
                <w:szCs w:val="28"/>
              </w:rPr>
              <w:t>ую</w:t>
            </w:r>
            <w:r w:rsidRPr="00860799">
              <w:rPr>
                <w:rFonts w:eastAsia="Calibri"/>
                <w:sz w:val="28"/>
                <w:szCs w:val="28"/>
              </w:rPr>
              <w:t xml:space="preserve"> программ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860799">
              <w:rPr>
                <w:rFonts w:eastAsia="Calibri"/>
                <w:sz w:val="28"/>
                <w:szCs w:val="28"/>
              </w:rPr>
              <w:t xml:space="preserve"> «Развитие системы образования на территории Ершовского муниципального района до 2023 года»</w:t>
            </w:r>
          </w:p>
        </w:tc>
      </w:tr>
    </w:tbl>
    <w:p w:rsidR="000A173A" w:rsidRPr="00860799" w:rsidRDefault="000A173A" w:rsidP="000A173A">
      <w:pPr>
        <w:jc w:val="both"/>
        <w:rPr>
          <w:rFonts w:eastAsia="Calibri"/>
          <w:sz w:val="28"/>
          <w:szCs w:val="28"/>
        </w:rPr>
      </w:pPr>
    </w:p>
    <w:p w:rsidR="000A173A" w:rsidRPr="00860799" w:rsidRDefault="000A173A" w:rsidP="000A173A">
      <w:pPr>
        <w:pStyle w:val="a3"/>
        <w:framePr w:wrap="around"/>
        <w:rPr>
          <w:b/>
          <w:bCs/>
        </w:rPr>
      </w:pPr>
      <w:r w:rsidRPr="00860799">
        <w:rPr>
          <w:sz w:val="32"/>
        </w:rPr>
        <w:t xml:space="preserve">       </w:t>
      </w:r>
      <w:proofErr w:type="gramStart"/>
      <w:r w:rsidRPr="00860799">
        <w:t>В соответствии со ст. 179 Бюджетного кодекса Российской Федерации, руководствуясь Уставом Ершовского муниципального района Саратовской области, Положением о порядке принятия решений о разработке муниципальных программ Ершовского муниципального района, их формирования и реализации, проведения оценки эффективности реализации муниципальных программ Ершовского муниципального района, утвержденным постановлением администрации Ершовского муниципального района от 05.11.2013 года № 1968, администрация Ершовского муниципального района Саратовской области ПОСТАНОВЛЯЕТ:</w:t>
      </w:r>
      <w:r w:rsidRPr="00860799">
        <w:rPr>
          <w:b/>
          <w:bCs/>
        </w:rPr>
        <w:t xml:space="preserve"> </w:t>
      </w:r>
      <w:proofErr w:type="gramEnd"/>
    </w:p>
    <w:p w:rsidR="000A173A" w:rsidRPr="007A5D7E" w:rsidRDefault="000A173A" w:rsidP="000A173A">
      <w:pPr>
        <w:framePr w:hSpace="180" w:wrap="around" w:vAnchor="text" w:hAnchor="text" w:y="1"/>
        <w:suppressOverlap/>
        <w:jc w:val="both"/>
        <w:rPr>
          <w:rFonts w:eastAsia="Andale Sans UI"/>
          <w:kern w:val="2"/>
          <w:sz w:val="28"/>
          <w:szCs w:val="28"/>
        </w:rPr>
      </w:pPr>
      <w:r w:rsidRPr="007A5D7E">
        <w:rPr>
          <w:sz w:val="28"/>
          <w:szCs w:val="28"/>
        </w:rPr>
        <w:t xml:space="preserve">      1.Внести изменения в муниципальную программу «Развитие системы образования на территории Ершовского муниципального ра</w:t>
      </w:r>
      <w:r>
        <w:rPr>
          <w:sz w:val="28"/>
          <w:szCs w:val="28"/>
        </w:rPr>
        <w:t xml:space="preserve">йона до 2023 </w:t>
      </w:r>
      <w:r w:rsidRPr="007A5D7E">
        <w:rPr>
          <w:sz w:val="28"/>
          <w:szCs w:val="28"/>
        </w:rPr>
        <w:t>года» изложив позицию</w:t>
      </w:r>
      <w:r w:rsidRPr="007A5D7E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«</w:t>
      </w:r>
      <w:r w:rsidRPr="007A5D7E">
        <w:rPr>
          <w:rFonts w:eastAsia="Andale Sans UI"/>
          <w:kern w:val="2"/>
          <w:sz w:val="28"/>
          <w:szCs w:val="28"/>
        </w:rPr>
        <w:t>Основное мероприятие 2.12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7A5D7E">
        <w:rPr>
          <w:rFonts w:eastAsia="Andale Sans UI"/>
          <w:kern w:val="2"/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Ершовского муниципального района (МОУ «СОШ №2 г</w:t>
      </w:r>
      <w:proofErr w:type="gramStart"/>
      <w:r w:rsidRPr="007A5D7E">
        <w:rPr>
          <w:rFonts w:eastAsia="Andale Sans UI"/>
          <w:kern w:val="2"/>
          <w:sz w:val="28"/>
          <w:szCs w:val="28"/>
        </w:rPr>
        <w:t>.Е</w:t>
      </w:r>
      <w:proofErr w:type="gramEnd"/>
      <w:r w:rsidRPr="007A5D7E">
        <w:rPr>
          <w:rFonts w:eastAsia="Andale Sans UI"/>
          <w:kern w:val="2"/>
          <w:sz w:val="28"/>
          <w:szCs w:val="28"/>
        </w:rPr>
        <w:t xml:space="preserve">ршова Саратовской области им. Героя Советского Союза Зуева М.А.»,   МОУ «СОШ №3 г.Ершова Саратовской области»,  МОУ «СОШ с.Перекопное Ершовского района Саратовской области» им. Героя Советского Союза В.И. Киреева,  МОУ «СОШ </w:t>
      </w:r>
      <w:proofErr w:type="spellStart"/>
      <w:r w:rsidRPr="007A5D7E">
        <w:rPr>
          <w:rFonts w:eastAsia="Andale Sans UI"/>
          <w:kern w:val="2"/>
          <w:sz w:val="28"/>
          <w:szCs w:val="28"/>
        </w:rPr>
        <w:t>п.Новосельский</w:t>
      </w:r>
      <w:proofErr w:type="spellEnd"/>
      <w:r w:rsidRPr="007A5D7E">
        <w:rPr>
          <w:rFonts w:eastAsia="Andale Sans UI"/>
          <w:kern w:val="2"/>
          <w:sz w:val="28"/>
          <w:szCs w:val="28"/>
        </w:rPr>
        <w:t xml:space="preserve"> Ершовского района Саратовской области»,  МОУ «СОШ №1 г.Ершова Саратовской области», МОУ «СОШ </w:t>
      </w:r>
      <w:proofErr w:type="spellStart"/>
      <w:r w:rsidRPr="007A5D7E">
        <w:rPr>
          <w:rFonts w:eastAsia="Andale Sans UI"/>
          <w:kern w:val="2"/>
          <w:sz w:val="28"/>
          <w:szCs w:val="28"/>
        </w:rPr>
        <w:t>с.Миусс</w:t>
      </w:r>
      <w:proofErr w:type="spellEnd"/>
      <w:r w:rsidRPr="007A5D7E">
        <w:rPr>
          <w:rFonts w:eastAsia="Andale Sans UI"/>
          <w:kern w:val="2"/>
          <w:sz w:val="28"/>
          <w:szCs w:val="28"/>
        </w:rPr>
        <w:t xml:space="preserve"> Ершовского района Саратовской области им. Героя советского Союза И.М. Т</w:t>
      </w:r>
      <w:r w:rsidR="0043376E">
        <w:rPr>
          <w:rFonts w:eastAsia="Andale Sans UI"/>
          <w:kern w:val="2"/>
          <w:sz w:val="28"/>
          <w:szCs w:val="28"/>
        </w:rPr>
        <w:t>р</w:t>
      </w:r>
      <w:r w:rsidRPr="007A5D7E">
        <w:rPr>
          <w:rFonts w:eastAsia="Andale Sans UI"/>
          <w:kern w:val="2"/>
          <w:sz w:val="28"/>
          <w:szCs w:val="28"/>
        </w:rPr>
        <w:t xml:space="preserve">ифонова»,  МОУ «СОШ </w:t>
      </w:r>
      <w:proofErr w:type="spellStart"/>
      <w:r w:rsidRPr="007A5D7E">
        <w:rPr>
          <w:rFonts w:eastAsia="Andale Sans UI"/>
          <w:kern w:val="2"/>
          <w:sz w:val="28"/>
          <w:szCs w:val="28"/>
        </w:rPr>
        <w:t>п.Кушумский</w:t>
      </w:r>
      <w:proofErr w:type="spellEnd"/>
      <w:r w:rsidRPr="007A5D7E">
        <w:rPr>
          <w:rFonts w:eastAsia="Andale Sans UI"/>
          <w:kern w:val="2"/>
          <w:sz w:val="28"/>
          <w:szCs w:val="28"/>
        </w:rPr>
        <w:t xml:space="preserve"> Ершовского района Саратовской области»</w:t>
      </w:r>
      <w:r w:rsidRPr="007A5D7E">
        <w:rPr>
          <w:sz w:val="28"/>
          <w:szCs w:val="28"/>
        </w:rPr>
        <w:t xml:space="preserve"> Приложения №3 к муниципальной программе «Развитие системы образования на территории Ершовского муниципального района до 2023 года»</w:t>
      </w:r>
      <w:r>
        <w:rPr>
          <w:sz w:val="28"/>
          <w:szCs w:val="28"/>
        </w:rPr>
        <w:t xml:space="preserve"> в </w:t>
      </w:r>
      <w:r w:rsidRPr="007A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новой </w:t>
      </w:r>
      <w:r w:rsidRPr="007A5D7E">
        <w:rPr>
          <w:sz w:val="28"/>
          <w:szCs w:val="28"/>
        </w:rPr>
        <w:t>редакции</w:t>
      </w:r>
      <w:r w:rsidR="0043376E">
        <w:rPr>
          <w:sz w:val="28"/>
          <w:szCs w:val="28"/>
        </w:rPr>
        <w:t xml:space="preserve"> согласно приложению к настоящему Постановлению.</w:t>
      </w:r>
    </w:p>
    <w:p w:rsidR="000A173A" w:rsidRPr="00860799" w:rsidRDefault="000A173A" w:rsidP="000A173A">
      <w:pPr>
        <w:jc w:val="both"/>
        <w:rPr>
          <w:rFonts w:eastAsia="Calibri"/>
          <w:sz w:val="28"/>
          <w:szCs w:val="28"/>
        </w:rPr>
      </w:pPr>
      <w:r w:rsidRPr="00860799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2</w:t>
      </w:r>
      <w:r w:rsidRPr="00860799">
        <w:rPr>
          <w:rFonts w:eastAsia="Calibri"/>
          <w:sz w:val="28"/>
          <w:szCs w:val="28"/>
        </w:rPr>
        <w:t>.Секто</w:t>
      </w:r>
      <w:r>
        <w:rPr>
          <w:rFonts w:eastAsia="Calibri"/>
          <w:sz w:val="28"/>
          <w:szCs w:val="28"/>
        </w:rPr>
        <w:t>ру по информатизации и программному обеспечению</w:t>
      </w:r>
      <w:r w:rsidRPr="00860799">
        <w:rPr>
          <w:rFonts w:eastAsia="Calibri"/>
          <w:sz w:val="28"/>
          <w:szCs w:val="28"/>
        </w:rPr>
        <w:t xml:space="preserve"> администрации Ершовского муниципального района Саратовской области </w:t>
      </w:r>
      <w:proofErr w:type="gramStart"/>
      <w:r w:rsidRPr="00860799">
        <w:rPr>
          <w:rFonts w:eastAsia="Calibri"/>
          <w:sz w:val="28"/>
          <w:szCs w:val="28"/>
        </w:rPr>
        <w:t>разместить</w:t>
      </w:r>
      <w:proofErr w:type="gramEnd"/>
      <w:r w:rsidRPr="00860799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</w:t>
      </w:r>
      <w:r w:rsidRPr="00860799">
        <w:rPr>
          <w:rFonts w:eastAsia="Calibri"/>
          <w:sz w:val="28"/>
          <w:szCs w:val="28"/>
        </w:rPr>
        <w:lastRenderedPageBreak/>
        <w:t>Ершовского муниципального района Саратовской области в сети «Интернет».</w:t>
      </w:r>
    </w:p>
    <w:p w:rsidR="000A173A" w:rsidRDefault="000A173A" w:rsidP="000A173A">
      <w:pPr>
        <w:jc w:val="both"/>
        <w:rPr>
          <w:rFonts w:eastAsia="Calibri"/>
          <w:sz w:val="28"/>
          <w:szCs w:val="28"/>
        </w:rPr>
      </w:pPr>
      <w:r w:rsidRPr="00860799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3</w:t>
      </w:r>
      <w:r w:rsidRPr="00860799">
        <w:rPr>
          <w:rFonts w:eastAsia="Calibri"/>
          <w:sz w:val="28"/>
          <w:szCs w:val="28"/>
        </w:rPr>
        <w:t>.</w:t>
      </w:r>
      <w:proofErr w:type="gramStart"/>
      <w:r w:rsidRPr="00860799">
        <w:rPr>
          <w:rFonts w:eastAsia="Calibri"/>
          <w:sz w:val="28"/>
          <w:szCs w:val="28"/>
        </w:rPr>
        <w:t>Контроль за</w:t>
      </w:r>
      <w:proofErr w:type="gramEnd"/>
      <w:r w:rsidRPr="00860799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Ершовского муниципального района Саратовской области по социальным вопросам.   </w:t>
      </w:r>
    </w:p>
    <w:p w:rsidR="000A173A" w:rsidRDefault="000A173A" w:rsidP="000A173A">
      <w:pPr>
        <w:jc w:val="both"/>
        <w:rPr>
          <w:rFonts w:eastAsia="Calibri"/>
          <w:sz w:val="28"/>
          <w:szCs w:val="28"/>
        </w:rPr>
      </w:pPr>
    </w:p>
    <w:p w:rsidR="000A173A" w:rsidRPr="00860799" w:rsidRDefault="000A173A" w:rsidP="000A173A">
      <w:pPr>
        <w:jc w:val="both"/>
        <w:rPr>
          <w:rFonts w:eastAsia="Calibri"/>
          <w:sz w:val="28"/>
          <w:szCs w:val="28"/>
        </w:rPr>
      </w:pPr>
    </w:p>
    <w:p w:rsidR="000A173A" w:rsidRDefault="000A173A" w:rsidP="000A173A">
      <w:pPr>
        <w:jc w:val="both"/>
        <w:rPr>
          <w:rFonts w:eastAsia="Calibri"/>
          <w:sz w:val="28"/>
          <w:szCs w:val="28"/>
        </w:rPr>
      </w:pPr>
      <w:r w:rsidRPr="00860799">
        <w:rPr>
          <w:rFonts w:eastAsia="Calibri"/>
          <w:sz w:val="28"/>
          <w:szCs w:val="28"/>
        </w:rPr>
        <w:t xml:space="preserve">Глава Ершовского муниципального района                           С.А. </w:t>
      </w:r>
      <w:proofErr w:type="spellStart"/>
      <w:r w:rsidRPr="00860799">
        <w:rPr>
          <w:rFonts w:eastAsia="Calibri"/>
          <w:sz w:val="28"/>
          <w:szCs w:val="28"/>
        </w:rPr>
        <w:t>Зубрицкая</w:t>
      </w:r>
      <w:proofErr w:type="spellEnd"/>
    </w:p>
    <w:p w:rsidR="000A173A" w:rsidRDefault="000A173A" w:rsidP="000A173A">
      <w:pPr>
        <w:tabs>
          <w:tab w:val="left" w:pos="2310"/>
        </w:tabs>
        <w:jc w:val="both"/>
        <w:rPr>
          <w:rFonts w:eastAsia="Calibri"/>
          <w:sz w:val="28"/>
          <w:szCs w:val="28"/>
        </w:rPr>
      </w:pPr>
    </w:p>
    <w:p w:rsidR="000A173A" w:rsidRDefault="000A173A" w:rsidP="000A173A">
      <w:pPr>
        <w:tabs>
          <w:tab w:val="left" w:pos="2310"/>
        </w:tabs>
        <w:jc w:val="both"/>
        <w:rPr>
          <w:rFonts w:eastAsia="Calibri"/>
          <w:sz w:val="28"/>
          <w:szCs w:val="28"/>
        </w:rPr>
      </w:pPr>
    </w:p>
    <w:p w:rsidR="000A173A" w:rsidRDefault="000A173A" w:rsidP="000A173A">
      <w:pPr>
        <w:tabs>
          <w:tab w:val="left" w:pos="2310"/>
        </w:tabs>
        <w:jc w:val="both"/>
        <w:rPr>
          <w:rFonts w:eastAsia="Calibri"/>
          <w:sz w:val="28"/>
          <w:szCs w:val="28"/>
        </w:rPr>
      </w:pPr>
    </w:p>
    <w:p w:rsidR="000A173A" w:rsidRDefault="000A173A" w:rsidP="000A173A">
      <w:pPr>
        <w:tabs>
          <w:tab w:val="left" w:pos="2310"/>
        </w:tabs>
        <w:jc w:val="both"/>
        <w:rPr>
          <w:rFonts w:eastAsia="Calibri"/>
          <w:sz w:val="28"/>
          <w:szCs w:val="28"/>
        </w:rPr>
      </w:pPr>
    </w:p>
    <w:p w:rsidR="000A173A" w:rsidRDefault="000A173A" w:rsidP="000A173A">
      <w:pPr>
        <w:tabs>
          <w:tab w:val="left" w:pos="2310"/>
        </w:tabs>
        <w:jc w:val="both"/>
        <w:rPr>
          <w:rFonts w:eastAsia="Calibri"/>
          <w:sz w:val="28"/>
          <w:szCs w:val="28"/>
        </w:rPr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  <w:sectPr w:rsidR="00595009" w:rsidSect="00B06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Pr="005837C3" w:rsidRDefault="00595009" w:rsidP="00595009">
      <w:pPr>
        <w:widowControl w:val="0"/>
        <w:autoSpaceDE w:val="0"/>
        <w:autoSpaceDN w:val="0"/>
        <w:ind w:firstLine="10065"/>
        <w:rPr>
          <w:bCs/>
          <w:sz w:val="28"/>
          <w:szCs w:val="28"/>
        </w:rPr>
      </w:pPr>
      <w:r w:rsidRPr="005837C3">
        <w:rPr>
          <w:bCs/>
          <w:sz w:val="28"/>
          <w:szCs w:val="28"/>
        </w:rPr>
        <w:t xml:space="preserve">Приложение к постановлению </w:t>
      </w:r>
    </w:p>
    <w:p w:rsidR="00595009" w:rsidRPr="005837C3" w:rsidRDefault="00595009" w:rsidP="00595009">
      <w:pPr>
        <w:widowControl w:val="0"/>
        <w:autoSpaceDE w:val="0"/>
        <w:autoSpaceDN w:val="0"/>
        <w:ind w:left="10065"/>
        <w:rPr>
          <w:bCs/>
          <w:sz w:val="28"/>
          <w:szCs w:val="28"/>
        </w:rPr>
      </w:pPr>
      <w:r w:rsidRPr="005837C3">
        <w:rPr>
          <w:bCs/>
          <w:sz w:val="28"/>
          <w:szCs w:val="28"/>
        </w:rPr>
        <w:t xml:space="preserve">администрации Ершовского </w:t>
      </w:r>
    </w:p>
    <w:p w:rsidR="00595009" w:rsidRPr="005837C3" w:rsidRDefault="00595009" w:rsidP="00595009">
      <w:pPr>
        <w:widowControl w:val="0"/>
        <w:autoSpaceDE w:val="0"/>
        <w:autoSpaceDN w:val="0"/>
        <w:ind w:left="10065"/>
        <w:rPr>
          <w:bCs/>
          <w:sz w:val="28"/>
          <w:szCs w:val="28"/>
        </w:rPr>
      </w:pPr>
      <w:r w:rsidRPr="005837C3">
        <w:rPr>
          <w:bCs/>
          <w:sz w:val="28"/>
          <w:szCs w:val="28"/>
        </w:rPr>
        <w:t xml:space="preserve">муниципального района </w:t>
      </w:r>
    </w:p>
    <w:p w:rsidR="00595009" w:rsidRPr="005837C3" w:rsidRDefault="00595009" w:rsidP="00595009">
      <w:pPr>
        <w:widowControl w:val="0"/>
        <w:tabs>
          <w:tab w:val="left" w:pos="5370"/>
        </w:tabs>
        <w:autoSpaceDE w:val="0"/>
        <w:autoSpaceDN w:val="0"/>
        <w:ind w:left="10065"/>
        <w:rPr>
          <w:bCs/>
          <w:sz w:val="28"/>
          <w:szCs w:val="28"/>
        </w:rPr>
      </w:pPr>
      <w:r w:rsidRPr="005837C3">
        <w:rPr>
          <w:bCs/>
          <w:sz w:val="28"/>
          <w:szCs w:val="28"/>
        </w:rPr>
        <w:t>Саратовской области</w:t>
      </w:r>
    </w:p>
    <w:p w:rsidR="00595009" w:rsidRPr="00595009" w:rsidRDefault="00595009" w:rsidP="00595009">
      <w:pPr>
        <w:widowControl w:val="0"/>
        <w:autoSpaceDE w:val="0"/>
        <w:autoSpaceDN w:val="0"/>
        <w:ind w:left="10065"/>
        <w:rPr>
          <w:bCs/>
          <w:sz w:val="28"/>
          <w:szCs w:val="28"/>
        </w:rPr>
      </w:pPr>
      <w:r w:rsidRPr="005837C3">
        <w:rPr>
          <w:bCs/>
          <w:sz w:val="28"/>
          <w:szCs w:val="28"/>
        </w:rPr>
        <w:t>от ___</w:t>
      </w:r>
      <w:r w:rsidRPr="00595009">
        <w:rPr>
          <w:bCs/>
          <w:sz w:val="28"/>
          <w:szCs w:val="28"/>
          <w:u w:val="single"/>
        </w:rPr>
        <w:t>05.02.2020г.</w:t>
      </w:r>
      <w:r w:rsidRPr="005837C3">
        <w:rPr>
          <w:bCs/>
          <w:sz w:val="28"/>
          <w:szCs w:val="28"/>
        </w:rPr>
        <w:t>___№_</w:t>
      </w:r>
      <w:r w:rsidRPr="00595009">
        <w:rPr>
          <w:bCs/>
          <w:sz w:val="28"/>
          <w:szCs w:val="28"/>
          <w:u w:val="single"/>
        </w:rPr>
        <w:t>102</w:t>
      </w:r>
      <w:r w:rsidRPr="005837C3">
        <w:rPr>
          <w:bCs/>
          <w:sz w:val="28"/>
          <w:szCs w:val="28"/>
        </w:rPr>
        <w:t>__</w:t>
      </w:r>
    </w:p>
    <w:p w:rsidR="00595009" w:rsidRDefault="00595009" w:rsidP="00595009">
      <w:pPr>
        <w:widowControl w:val="0"/>
        <w:autoSpaceDE w:val="0"/>
        <w:autoSpaceDN w:val="0"/>
        <w:jc w:val="center"/>
        <w:rPr>
          <w:bCs/>
        </w:rPr>
      </w:pPr>
    </w:p>
    <w:tbl>
      <w:tblPr>
        <w:tblStyle w:val="a6"/>
        <w:tblW w:w="0" w:type="auto"/>
        <w:tblLook w:val="04A0"/>
      </w:tblPr>
      <w:tblGrid>
        <w:gridCol w:w="4361"/>
        <w:gridCol w:w="2170"/>
        <w:gridCol w:w="2115"/>
        <w:gridCol w:w="1551"/>
        <w:gridCol w:w="1559"/>
        <w:gridCol w:w="1559"/>
        <w:gridCol w:w="1418"/>
      </w:tblGrid>
      <w:tr w:rsidR="00595009" w:rsidTr="00CA174C">
        <w:tc>
          <w:tcPr>
            <w:tcW w:w="4361" w:type="dxa"/>
            <w:vMerge w:val="restart"/>
          </w:tcPr>
          <w:p w:rsidR="00595009" w:rsidRPr="006E0595" w:rsidRDefault="00595009" w:rsidP="00CA174C">
            <w:pPr>
              <w:jc w:val="both"/>
              <w:rPr>
                <w:rFonts w:eastAsia="Andale Sans UI"/>
                <w:kern w:val="2"/>
              </w:rPr>
            </w:pPr>
            <w:r w:rsidRPr="006E0595">
              <w:rPr>
                <w:rFonts w:eastAsia="Andale Sans UI"/>
                <w:kern w:val="2"/>
              </w:rPr>
              <w:t>Основное мероприятие 2.12</w:t>
            </w: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  <w:r w:rsidRPr="006E0595">
              <w:rPr>
                <w:rFonts w:eastAsia="Andale Sans UI"/>
                <w:kern w:val="2"/>
              </w:rPr>
              <w:t>Создание Центров образования цифрового и гуманитарного профилей «Точка роста» на базе общеобразовательных организаций Ершовского муниципального района</w:t>
            </w:r>
            <w:r>
              <w:rPr>
                <w:rFonts w:eastAsia="Andale Sans UI"/>
                <w:kern w:val="2"/>
              </w:rPr>
              <w:t>:</w:t>
            </w: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1.Обновление материально-технической базы для формирования у обучающихся </w:t>
            </w:r>
            <w:proofErr w:type="spellStart"/>
            <w:r>
              <w:rPr>
                <w:rFonts w:eastAsia="Andale Sans UI"/>
                <w:kern w:val="2"/>
              </w:rPr>
              <w:t>современноых</w:t>
            </w:r>
            <w:proofErr w:type="spellEnd"/>
            <w:r>
              <w:rPr>
                <w:rFonts w:eastAsia="Andale Sans UI"/>
                <w:kern w:val="2"/>
              </w:rPr>
              <w:t xml:space="preserve"> технологических и гуманитарных навыков </w:t>
            </w:r>
            <w:r w:rsidRPr="006E0595">
              <w:rPr>
                <w:rFonts w:eastAsia="Andale Sans UI"/>
                <w:kern w:val="2"/>
              </w:rPr>
              <w:t>(МОУ «СОШ №2 г</w:t>
            </w:r>
            <w:proofErr w:type="gramStart"/>
            <w:r w:rsidRPr="006E0595">
              <w:rPr>
                <w:rFonts w:eastAsia="Andale Sans UI"/>
                <w:kern w:val="2"/>
              </w:rPr>
              <w:t>.Е</w:t>
            </w:r>
            <w:proofErr w:type="gramEnd"/>
            <w:r w:rsidRPr="006E0595">
              <w:rPr>
                <w:rFonts w:eastAsia="Andale Sans UI"/>
                <w:kern w:val="2"/>
              </w:rPr>
              <w:t xml:space="preserve">ршова Саратовской области им. Героя Советского Союза Зуева М.А.»,   МОУ «СОШ №3 г.Ершова Саратовской области»,  МОУ «СОШ с.Перекопное Ершовского района Саратовской области» им. Героя Советского Союза В.И. Киреева,  МОУ «СОШ </w:t>
            </w:r>
            <w:proofErr w:type="spellStart"/>
            <w:r w:rsidRPr="006E0595">
              <w:rPr>
                <w:rFonts w:eastAsia="Andale Sans UI"/>
                <w:kern w:val="2"/>
              </w:rPr>
              <w:lastRenderedPageBreak/>
              <w:t>п.Новосельский</w:t>
            </w:r>
            <w:proofErr w:type="spellEnd"/>
            <w:r w:rsidRPr="006E0595">
              <w:rPr>
                <w:rFonts w:eastAsia="Andale Sans UI"/>
                <w:kern w:val="2"/>
              </w:rPr>
              <w:t xml:space="preserve"> Ершовского района Саратовской области»,  МОУ «СОШ №1 г.Ершова Саратовской области», МОУ «СОШ </w:t>
            </w:r>
            <w:proofErr w:type="spellStart"/>
            <w:r w:rsidRPr="006E0595">
              <w:rPr>
                <w:rFonts w:eastAsia="Andale Sans UI"/>
                <w:kern w:val="2"/>
              </w:rPr>
              <w:t>с</w:t>
            </w:r>
            <w:proofErr w:type="gramStart"/>
            <w:r w:rsidRPr="006E0595">
              <w:rPr>
                <w:rFonts w:eastAsia="Andale Sans UI"/>
                <w:kern w:val="2"/>
              </w:rPr>
              <w:t>.М</w:t>
            </w:r>
            <w:proofErr w:type="gramEnd"/>
            <w:r w:rsidRPr="006E0595">
              <w:rPr>
                <w:rFonts w:eastAsia="Andale Sans UI"/>
                <w:kern w:val="2"/>
              </w:rPr>
              <w:t>иусс</w:t>
            </w:r>
            <w:proofErr w:type="spellEnd"/>
            <w:r w:rsidRPr="006E0595">
              <w:rPr>
                <w:rFonts w:eastAsia="Andale Sans UI"/>
                <w:kern w:val="2"/>
              </w:rPr>
              <w:t xml:space="preserve"> Ершовского района Саратовской области им. Героя советского Союза И.М. Т</w:t>
            </w:r>
            <w:r>
              <w:rPr>
                <w:rFonts w:eastAsia="Andale Sans UI"/>
                <w:kern w:val="2"/>
              </w:rPr>
              <w:t>р</w:t>
            </w:r>
            <w:r w:rsidRPr="006E0595">
              <w:rPr>
                <w:rFonts w:eastAsia="Andale Sans UI"/>
                <w:kern w:val="2"/>
              </w:rPr>
              <w:t xml:space="preserve">ифонова»,  МОУ «СОШ </w:t>
            </w:r>
            <w:proofErr w:type="spellStart"/>
            <w:r w:rsidRPr="006E0595">
              <w:rPr>
                <w:rFonts w:eastAsia="Andale Sans UI"/>
                <w:kern w:val="2"/>
              </w:rPr>
              <w:t>п.Кушумский</w:t>
            </w:r>
            <w:proofErr w:type="spellEnd"/>
            <w:r w:rsidRPr="006E0595">
              <w:rPr>
                <w:rFonts w:eastAsia="Andale Sans UI"/>
                <w:kern w:val="2"/>
              </w:rPr>
              <w:t xml:space="preserve"> Ершовского района Саратовской области»)</w:t>
            </w:r>
            <w:r>
              <w:rPr>
                <w:rFonts w:eastAsia="Andale Sans UI"/>
                <w:kern w:val="2"/>
              </w:rPr>
              <w:t>:</w:t>
            </w:r>
          </w:p>
          <w:p w:rsidR="00595009" w:rsidRDefault="00595009" w:rsidP="00CA174C">
            <w:pPr>
              <w:jc w:val="both"/>
              <w:rPr>
                <w:rFonts w:eastAsia="Andale Sans UI"/>
                <w:kern w:val="2"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rFonts w:eastAsia="Andale Sans UI"/>
                <w:kern w:val="2"/>
              </w:rPr>
              <w:t>2.Обеспечение условий для создания центров образования цифрового и гуманитарного профилей (</w:t>
            </w:r>
            <w:r w:rsidRPr="006E0595">
              <w:rPr>
                <w:rFonts w:eastAsia="Andale Sans UI"/>
                <w:kern w:val="2"/>
              </w:rPr>
              <w:t>(МОУ «СОШ №2 г</w:t>
            </w:r>
            <w:proofErr w:type="gramStart"/>
            <w:r w:rsidRPr="006E0595">
              <w:rPr>
                <w:rFonts w:eastAsia="Andale Sans UI"/>
                <w:kern w:val="2"/>
              </w:rPr>
              <w:t>.Е</w:t>
            </w:r>
            <w:proofErr w:type="gramEnd"/>
            <w:r w:rsidRPr="006E0595">
              <w:rPr>
                <w:rFonts w:eastAsia="Andale Sans UI"/>
                <w:kern w:val="2"/>
              </w:rPr>
              <w:t xml:space="preserve">ршова Саратовской области им. Героя Советского Союза Зуева М.А.»,   МОУ «СОШ №3 г.Ершова Саратовской области»,  МОУ «СОШ с.Перекопное Ершовского района Саратовской области» им. Героя Советского Союза В.И. Киреева,  МОУ «СОШ </w:t>
            </w:r>
            <w:proofErr w:type="spellStart"/>
            <w:r w:rsidRPr="006E0595">
              <w:rPr>
                <w:rFonts w:eastAsia="Andale Sans UI"/>
                <w:kern w:val="2"/>
              </w:rPr>
              <w:t>п.Новосельский</w:t>
            </w:r>
            <w:proofErr w:type="spellEnd"/>
            <w:r w:rsidRPr="006E0595">
              <w:rPr>
                <w:rFonts w:eastAsia="Andale Sans UI"/>
                <w:kern w:val="2"/>
              </w:rPr>
              <w:t xml:space="preserve"> Ершовского района Саратовской области»,  МОУ «СОШ №1 г.Ершова Саратовской области», МОУ «СОШ </w:t>
            </w:r>
            <w:proofErr w:type="spellStart"/>
            <w:r w:rsidRPr="006E0595">
              <w:rPr>
                <w:rFonts w:eastAsia="Andale Sans UI"/>
                <w:kern w:val="2"/>
              </w:rPr>
              <w:t>с</w:t>
            </w:r>
            <w:proofErr w:type="gramStart"/>
            <w:r w:rsidRPr="006E0595">
              <w:rPr>
                <w:rFonts w:eastAsia="Andale Sans UI"/>
                <w:kern w:val="2"/>
              </w:rPr>
              <w:t>.М</w:t>
            </w:r>
            <w:proofErr w:type="gramEnd"/>
            <w:r w:rsidRPr="006E0595">
              <w:rPr>
                <w:rFonts w:eastAsia="Andale Sans UI"/>
                <w:kern w:val="2"/>
              </w:rPr>
              <w:t>иусс</w:t>
            </w:r>
            <w:proofErr w:type="spellEnd"/>
            <w:r w:rsidRPr="006E0595">
              <w:rPr>
                <w:rFonts w:eastAsia="Andale Sans UI"/>
                <w:kern w:val="2"/>
              </w:rPr>
              <w:t xml:space="preserve"> Ершовского района Саратовской области им. Героя советского Союза И.М. Т</w:t>
            </w:r>
            <w:r>
              <w:rPr>
                <w:rFonts w:eastAsia="Andale Sans UI"/>
                <w:kern w:val="2"/>
              </w:rPr>
              <w:t>р</w:t>
            </w:r>
            <w:r w:rsidRPr="006E0595">
              <w:rPr>
                <w:rFonts w:eastAsia="Andale Sans UI"/>
                <w:kern w:val="2"/>
              </w:rPr>
              <w:t xml:space="preserve">ифонова»,  МОУ «СОШ </w:t>
            </w:r>
            <w:proofErr w:type="spellStart"/>
            <w:r w:rsidRPr="006E0595">
              <w:rPr>
                <w:rFonts w:eastAsia="Andale Sans UI"/>
                <w:kern w:val="2"/>
              </w:rPr>
              <w:t>п.Кушумский</w:t>
            </w:r>
            <w:proofErr w:type="spellEnd"/>
            <w:r w:rsidRPr="006E0595">
              <w:rPr>
                <w:rFonts w:eastAsia="Andale Sans UI"/>
                <w:kern w:val="2"/>
              </w:rPr>
              <w:t xml:space="preserve"> Ершовского района Саратовской области»)</w:t>
            </w:r>
            <w:r>
              <w:rPr>
                <w:rFonts w:eastAsia="Andale Sans UI"/>
                <w:kern w:val="2"/>
              </w:rPr>
              <w:t xml:space="preserve">, МОУ «СОШ с. Рефлектор Ершовского района имени Героя Советского Союза А.Ф. </w:t>
            </w:r>
            <w:proofErr w:type="spellStart"/>
            <w:r>
              <w:rPr>
                <w:rFonts w:eastAsia="Andale Sans UI"/>
                <w:kern w:val="2"/>
              </w:rPr>
              <w:t>Данукалова</w:t>
            </w:r>
            <w:proofErr w:type="spellEnd"/>
            <w:r>
              <w:rPr>
                <w:rFonts w:eastAsia="Andale Sans UI"/>
                <w:kern w:val="2"/>
              </w:rPr>
              <w:t>», МОУ «СОШ с.Орлов – Гай Ершовского района Саратовской области».</w:t>
            </w:r>
          </w:p>
        </w:tc>
        <w:tc>
          <w:tcPr>
            <w:tcW w:w="2170" w:type="dxa"/>
            <w:vMerge w:val="restart"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  <w:r w:rsidRPr="006E0595">
              <w:lastRenderedPageBreak/>
              <w:t>Муниципальные образовательные организации</w:t>
            </w: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всего</w:t>
            </w: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32448,8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5665,0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10662,9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16120,9</w:t>
            </w:r>
          </w:p>
        </w:tc>
      </w:tr>
      <w:tr w:rsidR="00595009" w:rsidTr="00CA174C"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федеральный бюджет</w:t>
            </w:r>
          </w:p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(</w:t>
            </w:r>
            <w:proofErr w:type="spellStart"/>
            <w:r w:rsidRPr="006E0595">
              <w:t>прогнозно</w:t>
            </w:r>
            <w:proofErr w:type="spellEnd"/>
            <w:r w:rsidRPr="006E0595">
              <w:t>)</w:t>
            </w: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7875,1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1117,1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3380,8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3377,2</w:t>
            </w:r>
          </w:p>
        </w:tc>
      </w:tr>
      <w:tr w:rsidR="00595009" w:rsidTr="00CA174C"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областной бюджет</w:t>
            </w:r>
          </w:p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(</w:t>
            </w:r>
            <w:proofErr w:type="spellStart"/>
            <w:r w:rsidRPr="006E0595">
              <w:t>прогнозно</w:t>
            </w:r>
            <w:proofErr w:type="spellEnd"/>
            <w:r w:rsidRPr="006E0595">
              <w:t>)</w:t>
            </w: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24273,7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4247,9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7282,1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12743,7</w:t>
            </w:r>
          </w:p>
        </w:tc>
      </w:tr>
      <w:tr w:rsidR="00595009" w:rsidTr="00CA174C"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районный бюджет</w:t>
            </w:r>
          </w:p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(</w:t>
            </w:r>
            <w:proofErr w:type="spellStart"/>
            <w:r w:rsidRPr="006E0595">
              <w:t>прогнозно</w:t>
            </w:r>
            <w:proofErr w:type="spellEnd"/>
            <w:r w:rsidRPr="006E0595">
              <w:t>)</w:t>
            </w: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300,0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300,0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0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0</w:t>
            </w:r>
          </w:p>
        </w:tc>
      </w:tr>
      <w:tr w:rsidR="00595009" w:rsidTr="00CA174C">
        <w:trPr>
          <w:trHeight w:val="945"/>
        </w:trPr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95009" w:rsidRPr="006E0595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 w:rsidRPr="006E0595">
              <w:rPr>
                <w:sz w:val="24"/>
              </w:rPr>
              <w:t>внебюджетные источники</w:t>
            </w:r>
          </w:p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(</w:t>
            </w:r>
            <w:proofErr w:type="spellStart"/>
            <w:r w:rsidRPr="006E0595">
              <w:t>прогнозно</w:t>
            </w:r>
            <w:proofErr w:type="spellEnd"/>
            <w:r w:rsidRPr="006E0595">
              <w:t>)</w:t>
            </w:r>
          </w:p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bottom w:val="single" w:sz="4" w:space="0" w:color="000000"/>
            </w:tcBorders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595"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 w:rsidRPr="006E0595">
              <w:rPr>
                <w:bCs/>
              </w:rPr>
              <w:t>0</w:t>
            </w:r>
          </w:p>
        </w:tc>
      </w:tr>
      <w:tr w:rsidR="00595009" w:rsidTr="00CA174C"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Pr="006E0595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федеральнй</w:t>
            </w:r>
            <w:proofErr w:type="spellEnd"/>
            <w:r>
              <w:rPr>
                <w:sz w:val="24"/>
              </w:rPr>
              <w:t xml:space="preserve"> бюджет 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7875,1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1117,1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3380,8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3377,2</w:t>
            </w:r>
          </w:p>
        </w:tc>
      </w:tr>
      <w:tr w:rsidR="00595009" w:rsidTr="00CA174C"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  <w:p w:rsidR="00595009" w:rsidRPr="006E0595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5009" w:rsidTr="00CA174C"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Pr="006E0595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 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5009" w:rsidTr="00CA174C"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</w:tcPr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>)</w:t>
            </w: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  <w:p w:rsidR="00595009" w:rsidRPr="006E0595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</w:p>
        </w:tc>
        <w:tc>
          <w:tcPr>
            <w:tcW w:w="1551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595009" w:rsidRPr="006E0595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5009" w:rsidTr="00CA174C">
        <w:trPr>
          <w:trHeight w:val="798"/>
        </w:trPr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 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5009" w:rsidTr="00CA174C">
        <w:trPr>
          <w:trHeight w:val="764"/>
        </w:trPr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rFonts w:eastAsia="Andale Sans UI"/>
                <w:kern w:val="2"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 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24273,7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4247,9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7282,1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12743,7</w:t>
            </w:r>
          </w:p>
        </w:tc>
      </w:tr>
      <w:tr w:rsidR="00595009" w:rsidTr="00CA174C">
        <w:trPr>
          <w:trHeight w:val="798"/>
        </w:trPr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rFonts w:eastAsia="Andale Sans UI"/>
                <w:kern w:val="2"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 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5009" w:rsidTr="00CA174C">
        <w:trPr>
          <w:trHeight w:val="2625"/>
        </w:trPr>
        <w:tc>
          <w:tcPr>
            <w:tcW w:w="4361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rFonts w:eastAsia="Andale Sans UI"/>
                <w:kern w:val="2"/>
              </w:rPr>
            </w:pPr>
          </w:p>
        </w:tc>
        <w:tc>
          <w:tcPr>
            <w:tcW w:w="2170" w:type="dxa"/>
            <w:vMerge/>
          </w:tcPr>
          <w:p w:rsidR="00595009" w:rsidRDefault="00595009" w:rsidP="00CA174C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595009" w:rsidRDefault="00595009" w:rsidP="00CA174C">
            <w:pPr>
              <w:pStyle w:val="a3"/>
              <w:framePr w:hSpace="0" w:wrap="auto" w:vAnchor="margin" w:yAlign="inline"/>
              <w:suppressOverlap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 (</w:t>
            </w:r>
            <w:proofErr w:type="spellStart"/>
            <w:r>
              <w:rPr>
                <w:sz w:val="24"/>
              </w:rPr>
              <w:t>прогнозно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009" w:rsidRDefault="00595009" w:rsidP="00CA174C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595009" w:rsidRDefault="0059500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p w:rsidR="00F51349" w:rsidRDefault="00F51349" w:rsidP="00F51349">
      <w:pPr>
        <w:jc w:val="both"/>
      </w:pPr>
    </w:p>
    <w:sectPr w:rsidR="00F51349" w:rsidSect="005950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0A173A"/>
    <w:rsid w:val="000A173A"/>
    <w:rsid w:val="003201F3"/>
    <w:rsid w:val="0043376E"/>
    <w:rsid w:val="00534DEB"/>
    <w:rsid w:val="00595009"/>
    <w:rsid w:val="005E1DF3"/>
    <w:rsid w:val="00744FE0"/>
    <w:rsid w:val="009B2FE5"/>
    <w:rsid w:val="00B0659C"/>
    <w:rsid w:val="00D17685"/>
    <w:rsid w:val="00EB4268"/>
    <w:rsid w:val="00F5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A173A"/>
    <w:pPr>
      <w:framePr w:hSpace="180" w:wrap="around" w:vAnchor="text" w:hAnchor="text" w:y="1"/>
      <w:spacing w:after="0" w:line="240" w:lineRule="auto"/>
      <w:suppressOverlap/>
      <w:jc w:val="both"/>
    </w:pPr>
    <w:rPr>
      <w:rFonts w:ascii="Times New Roman" w:eastAsia="Calibri" w:hAnsi="Times New Roman" w:cs="Times New Roman"/>
      <w:spacing w:val="-15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3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Белугина</cp:lastModifiedBy>
  <cp:revision>2</cp:revision>
  <cp:lastPrinted>2020-02-06T05:22:00Z</cp:lastPrinted>
  <dcterms:created xsi:type="dcterms:W3CDTF">2020-02-13T09:49:00Z</dcterms:created>
  <dcterms:modified xsi:type="dcterms:W3CDTF">2020-02-13T09:49:00Z</dcterms:modified>
</cp:coreProperties>
</file>