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4B" w:rsidRPr="00B4375C" w:rsidRDefault="00ED504B" w:rsidP="00ED504B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АДМИНИСТРАЦИЯ</w:t>
      </w:r>
    </w:p>
    <w:p w:rsidR="00ED504B" w:rsidRPr="00B4375C" w:rsidRDefault="00ED504B" w:rsidP="00ED504B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ПЕРЕКОПНОВСКОГО МУНИЦИПАЛЬНОГО ОБРАЗОВАНИЯ</w:t>
      </w:r>
    </w:p>
    <w:p w:rsidR="00ED504B" w:rsidRPr="00B4375C" w:rsidRDefault="00ED504B" w:rsidP="00ED504B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ED504B" w:rsidRPr="00B4375C" w:rsidRDefault="00ED504B" w:rsidP="00ED504B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ED504B" w:rsidRPr="00B4375C" w:rsidRDefault="00ED504B" w:rsidP="00ED504B">
      <w:pPr>
        <w:jc w:val="center"/>
        <w:rPr>
          <w:bCs/>
          <w:iCs/>
          <w:sz w:val="28"/>
          <w:szCs w:val="28"/>
        </w:rPr>
      </w:pPr>
    </w:p>
    <w:p w:rsidR="00ED504B" w:rsidRPr="00B4375C" w:rsidRDefault="00ED504B" w:rsidP="00ED504B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ED74F5" w:rsidRPr="00ED504B" w:rsidRDefault="00ED74F5" w:rsidP="00ED74F5">
      <w:pPr>
        <w:tabs>
          <w:tab w:val="left" w:pos="0"/>
        </w:tabs>
        <w:spacing w:line="264" w:lineRule="auto"/>
        <w:rPr>
          <w:sz w:val="28"/>
          <w:szCs w:val="28"/>
        </w:rPr>
      </w:pPr>
      <w:r>
        <w:tab/>
      </w:r>
      <w:r w:rsidRPr="00ED504B">
        <w:rPr>
          <w:sz w:val="28"/>
          <w:szCs w:val="28"/>
        </w:rPr>
        <w:t xml:space="preserve">от </w:t>
      </w:r>
      <w:r w:rsidR="00ED504B" w:rsidRPr="00ED504B">
        <w:rPr>
          <w:sz w:val="28"/>
          <w:szCs w:val="28"/>
        </w:rPr>
        <w:t>24.12.2021</w:t>
      </w:r>
      <w:r w:rsidRPr="00ED504B">
        <w:rPr>
          <w:sz w:val="28"/>
          <w:szCs w:val="28"/>
        </w:rPr>
        <w:t xml:space="preserve">  </w:t>
      </w:r>
      <w:r w:rsidR="00ED504B">
        <w:rPr>
          <w:sz w:val="28"/>
          <w:szCs w:val="28"/>
        </w:rPr>
        <w:t xml:space="preserve">                                                                          </w:t>
      </w:r>
      <w:r w:rsidRPr="00ED504B">
        <w:rPr>
          <w:sz w:val="28"/>
          <w:szCs w:val="28"/>
        </w:rPr>
        <w:t xml:space="preserve">  №</w:t>
      </w:r>
      <w:r w:rsidR="00ED504B">
        <w:rPr>
          <w:sz w:val="28"/>
          <w:szCs w:val="28"/>
        </w:rPr>
        <w:t xml:space="preserve"> </w:t>
      </w:r>
      <w:r w:rsidR="00ED504B" w:rsidRPr="00ED504B">
        <w:rPr>
          <w:sz w:val="28"/>
          <w:szCs w:val="28"/>
        </w:rPr>
        <w:t>62</w:t>
      </w:r>
      <w:r w:rsidRPr="00ED504B">
        <w:rPr>
          <w:sz w:val="28"/>
          <w:szCs w:val="28"/>
        </w:rPr>
        <w:t xml:space="preserve">      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Default="00F25547"/>
    <w:p w:rsidR="00E75974" w:rsidRPr="00ED504B" w:rsidRDefault="00E75974" w:rsidP="00F25547">
      <w:pPr>
        <w:rPr>
          <w:rFonts w:cs="Calibri"/>
          <w:b/>
          <w:bCs/>
          <w:sz w:val="28"/>
          <w:szCs w:val="24"/>
        </w:rPr>
      </w:pPr>
      <w:r w:rsidRPr="00ED504B">
        <w:rPr>
          <w:rFonts w:cs="Calibri"/>
          <w:b/>
          <w:bCs/>
          <w:sz w:val="32"/>
        </w:rPr>
        <w:t xml:space="preserve"> </w:t>
      </w:r>
      <w:r w:rsidR="00F25547" w:rsidRPr="00ED504B">
        <w:rPr>
          <w:rFonts w:cs="Calibri"/>
          <w:b/>
          <w:bCs/>
          <w:sz w:val="28"/>
          <w:szCs w:val="24"/>
        </w:rPr>
        <w:t>Об утверждении перечня</w:t>
      </w:r>
      <w:r w:rsidRPr="00ED504B">
        <w:rPr>
          <w:rFonts w:cs="Calibri"/>
          <w:b/>
          <w:bCs/>
          <w:sz w:val="28"/>
          <w:szCs w:val="24"/>
        </w:rPr>
        <w:t xml:space="preserve"> </w:t>
      </w:r>
      <w:r w:rsidR="008D1FD0" w:rsidRPr="00ED504B">
        <w:rPr>
          <w:rFonts w:cs="Calibri"/>
          <w:b/>
          <w:bCs/>
          <w:sz w:val="28"/>
          <w:szCs w:val="24"/>
        </w:rPr>
        <w:t xml:space="preserve"> </w:t>
      </w:r>
      <w:proofErr w:type="gramStart"/>
      <w:r w:rsidR="00F25547" w:rsidRPr="00ED504B">
        <w:rPr>
          <w:rFonts w:cs="Calibri"/>
          <w:b/>
          <w:bCs/>
          <w:sz w:val="28"/>
          <w:szCs w:val="24"/>
        </w:rPr>
        <w:t>главных</w:t>
      </w:r>
      <w:proofErr w:type="gramEnd"/>
      <w:r w:rsidR="00F25547" w:rsidRPr="00ED504B">
        <w:rPr>
          <w:rFonts w:cs="Calibri"/>
          <w:b/>
          <w:bCs/>
          <w:sz w:val="28"/>
          <w:szCs w:val="24"/>
        </w:rPr>
        <w:t xml:space="preserve"> </w:t>
      </w:r>
    </w:p>
    <w:p w:rsidR="00E75974" w:rsidRPr="00ED504B" w:rsidRDefault="00E75974" w:rsidP="00F25547">
      <w:pPr>
        <w:rPr>
          <w:b/>
          <w:sz w:val="28"/>
          <w:szCs w:val="24"/>
        </w:rPr>
      </w:pPr>
      <w:r w:rsidRPr="00ED504B">
        <w:rPr>
          <w:rFonts w:cs="Calibri"/>
          <w:b/>
          <w:bCs/>
          <w:sz w:val="28"/>
          <w:szCs w:val="24"/>
        </w:rPr>
        <w:t xml:space="preserve"> </w:t>
      </w:r>
      <w:r w:rsidR="00F25547" w:rsidRPr="00ED504B">
        <w:rPr>
          <w:rFonts w:cs="Calibri"/>
          <w:b/>
          <w:bCs/>
          <w:sz w:val="28"/>
          <w:szCs w:val="24"/>
        </w:rPr>
        <w:t>администраторов доходов</w:t>
      </w:r>
      <w:r w:rsidRPr="00ED504B">
        <w:rPr>
          <w:rFonts w:cs="Calibri"/>
          <w:b/>
          <w:bCs/>
          <w:sz w:val="28"/>
          <w:szCs w:val="24"/>
        </w:rPr>
        <w:t xml:space="preserve"> и </w:t>
      </w:r>
      <w:r w:rsidRPr="00ED504B">
        <w:rPr>
          <w:b/>
          <w:sz w:val="28"/>
          <w:szCs w:val="24"/>
        </w:rPr>
        <w:t>источников</w:t>
      </w:r>
    </w:p>
    <w:p w:rsidR="00E75974" w:rsidRPr="00ED504B" w:rsidRDefault="00E75974" w:rsidP="00F25547">
      <w:pPr>
        <w:rPr>
          <w:b/>
          <w:sz w:val="28"/>
          <w:szCs w:val="24"/>
        </w:rPr>
      </w:pPr>
      <w:r w:rsidRPr="00ED504B">
        <w:rPr>
          <w:b/>
          <w:sz w:val="28"/>
          <w:szCs w:val="24"/>
        </w:rPr>
        <w:t xml:space="preserve"> финансирования дефицита </w:t>
      </w:r>
      <w:r w:rsidR="00F25547" w:rsidRPr="00ED504B">
        <w:rPr>
          <w:rFonts w:cs="Calibri"/>
          <w:b/>
          <w:bCs/>
          <w:sz w:val="28"/>
          <w:szCs w:val="24"/>
        </w:rPr>
        <w:t xml:space="preserve">бюджета </w:t>
      </w:r>
    </w:p>
    <w:p w:rsidR="008E23FC" w:rsidRPr="00ED504B" w:rsidRDefault="00E75974" w:rsidP="00F25547">
      <w:pPr>
        <w:rPr>
          <w:rFonts w:cs="Calibri"/>
          <w:b/>
          <w:bCs/>
          <w:sz w:val="28"/>
          <w:szCs w:val="24"/>
        </w:rPr>
      </w:pPr>
      <w:r w:rsidRPr="00ED504B">
        <w:rPr>
          <w:rFonts w:cs="Calibri"/>
          <w:b/>
          <w:bCs/>
          <w:sz w:val="28"/>
          <w:szCs w:val="24"/>
        </w:rPr>
        <w:t xml:space="preserve"> </w:t>
      </w:r>
      <w:r w:rsidR="00ED504B" w:rsidRPr="00ED504B">
        <w:rPr>
          <w:rFonts w:cs="Calibri"/>
          <w:b/>
          <w:bCs/>
          <w:sz w:val="28"/>
          <w:szCs w:val="24"/>
        </w:rPr>
        <w:t>Перекопновского</w:t>
      </w:r>
      <w:r w:rsidR="008E23FC" w:rsidRPr="00ED504B">
        <w:rPr>
          <w:rFonts w:cs="Calibri"/>
          <w:b/>
          <w:bCs/>
          <w:sz w:val="28"/>
          <w:szCs w:val="24"/>
        </w:rPr>
        <w:t xml:space="preserve"> муниципального образования</w:t>
      </w:r>
    </w:p>
    <w:p w:rsidR="00F25547" w:rsidRPr="00ED504B" w:rsidRDefault="008E23FC" w:rsidP="00F25547">
      <w:pPr>
        <w:rPr>
          <w:rFonts w:cs="Calibri"/>
          <w:b/>
          <w:bCs/>
          <w:sz w:val="28"/>
          <w:szCs w:val="24"/>
        </w:rPr>
      </w:pPr>
      <w:r w:rsidRPr="00ED504B">
        <w:rPr>
          <w:rFonts w:cs="Calibri"/>
          <w:b/>
          <w:bCs/>
          <w:sz w:val="28"/>
          <w:szCs w:val="24"/>
        </w:rPr>
        <w:t xml:space="preserve"> </w:t>
      </w:r>
      <w:r w:rsidR="00F25547" w:rsidRPr="00ED504B">
        <w:rPr>
          <w:rFonts w:cs="Calibri"/>
          <w:b/>
          <w:bCs/>
          <w:sz w:val="28"/>
          <w:szCs w:val="24"/>
        </w:rPr>
        <w:t>Ершовского муниципального района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25547" w:rsidRPr="00ED504B" w:rsidRDefault="00F25547" w:rsidP="00F25547">
      <w:pPr>
        <w:ind w:firstLine="709"/>
        <w:contextualSpacing/>
        <w:jc w:val="both"/>
        <w:rPr>
          <w:sz w:val="28"/>
          <w:szCs w:val="24"/>
        </w:rPr>
      </w:pPr>
      <w:proofErr w:type="gramStart"/>
      <w:r w:rsidRPr="00ED504B">
        <w:rPr>
          <w:sz w:val="28"/>
          <w:szCs w:val="24"/>
        </w:rPr>
        <w:t>В соответствии с</w:t>
      </w:r>
      <w:r w:rsidR="00D92AF3" w:rsidRPr="00ED504B">
        <w:rPr>
          <w:sz w:val="28"/>
          <w:szCs w:val="24"/>
        </w:rPr>
        <w:t>о</w:t>
      </w:r>
      <w:r w:rsidRPr="00ED504B">
        <w:rPr>
          <w:sz w:val="28"/>
          <w:szCs w:val="24"/>
        </w:rPr>
        <w:t xml:space="preserve"> </w:t>
      </w:r>
      <w:r w:rsidR="00972B1F" w:rsidRPr="00ED504B">
        <w:rPr>
          <w:sz w:val="28"/>
          <w:szCs w:val="24"/>
        </w:rPr>
        <w:t>статьями 160.1 и 160.2</w:t>
      </w:r>
      <w:r w:rsidR="00D92AF3" w:rsidRPr="00ED504B">
        <w:rPr>
          <w:sz w:val="28"/>
          <w:szCs w:val="24"/>
        </w:rPr>
        <w:t xml:space="preserve"> </w:t>
      </w:r>
      <w:r w:rsidRPr="00ED504B">
        <w:rPr>
          <w:sz w:val="28"/>
          <w:szCs w:val="24"/>
        </w:rPr>
        <w:t xml:space="preserve">Бюджетного кодекса Российской Федерации, </w:t>
      </w:r>
      <w:hyperlink r:id="rId6" w:history="1">
        <w:r w:rsidRPr="00ED504B">
          <w:rPr>
            <w:sz w:val="28"/>
            <w:szCs w:val="24"/>
          </w:rPr>
          <w:t>постановлени</w:t>
        </w:r>
        <w:r w:rsidR="00972B1F" w:rsidRPr="00ED504B">
          <w:rPr>
            <w:sz w:val="28"/>
            <w:szCs w:val="24"/>
          </w:rPr>
          <w:t>я</w:t>
        </w:r>
        <w:r w:rsidRPr="00ED504B">
          <w:rPr>
            <w:sz w:val="28"/>
            <w:szCs w:val="24"/>
          </w:rPr>
          <w:t>м</w:t>
        </w:r>
      </w:hyperlink>
      <w:r w:rsidR="00972B1F" w:rsidRPr="00ED504B">
        <w:rPr>
          <w:sz w:val="28"/>
          <w:szCs w:val="24"/>
        </w:rPr>
        <w:t>и</w:t>
      </w:r>
      <w:r w:rsidRPr="00ED504B">
        <w:rPr>
          <w:sz w:val="28"/>
          <w:szCs w:val="24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ED504B">
        <w:rPr>
          <w:sz w:val="28"/>
          <w:szCs w:val="24"/>
        </w:rPr>
        <w:t xml:space="preserve"> </w:t>
      </w:r>
      <w:proofErr w:type="gramStart"/>
      <w:r w:rsidRPr="00ED504B">
        <w:rPr>
          <w:sz w:val="28"/>
          <w:szCs w:val="24"/>
        </w:rPr>
        <w:t xml:space="preserve"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72B1F" w:rsidRPr="00ED504B">
        <w:rPr>
          <w:sz w:val="28"/>
          <w:szCs w:val="24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</w:t>
      </w:r>
      <w:proofErr w:type="gramEnd"/>
      <w:r w:rsidR="00972B1F" w:rsidRPr="00ED504B">
        <w:rPr>
          <w:sz w:val="28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Pr="00ED504B">
        <w:rPr>
          <w:sz w:val="28"/>
          <w:szCs w:val="24"/>
        </w:rPr>
        <w:t xml:space="preserve">Уставом </w:t>
      </w:r>
      <w:r w:rsidR="00ED504B">
        <w:rPr>
          <w:sz w:val="28"/>
          <w:szCs w:val="24"/>
        </w:rPr>
        <w:t>Перекопновского</w:t>
      </w:r>
      <w:r w:rsidR="002E5ABB" w:rsidRPr="00ED504B">
        <w:rPr>
          <w:sz w:val="28"/>
          <w:szCs w:val="24"/>
        </w:rPr>
        <w:t xml:space="preserve"> </w:t>
      </w:r>
      <w:r w:rsidRPr="00ED504B">
        <w:rPr>
          <w:sz w:val="28"/>
          <w:szCs w:val="24"/>
        </w:rPr>
        <w:t xml:space="preserve">муниципального </w:t>
      </w:r>
      <w:r w:rsidR="008E23FC" w:rsidRPr="00ED504B">
        <w:rPr>
          <w:sz w:val="28"/>
          <w:szCs w:val="24"/>
        </w:rPr>
        <w:t xml:space="preserve">образования </w:t>
      </w:r>
      <w:r w:rsidRPr="00ED504B">
        <w:rPr>
          <w:sz w:val="28"/>
          <w:szCs w:val="24"/>
        </w:rPr>
        <w:t>Ершовского муниципального района</w:t>
      </w:r>
      <w:r w:rsidR="00ED504B">
        <w:rPr>
          <w:sz w:val="28"/>
          <w:szCs w:val="24"/>
        </w:rPr>
        <w:t xml:space="preserve">, администрация Перекопновского </w:t>
      </w:r>
      <w:r w:rsidR="008E23FC" w:rsidRPr="00ED504B">
        <w:rPr>
          <w:sz w:val="28"/>
          <w:szCs w:val="24"/>
        </w:rPr>
        <w:t>муниципального образования</w:t>
      </w:r>
      <w:r w:rsidRPr="00ED504B">
        <w:rPr>
          <w:sz w:val="28"/>
          <w:szCs w:val="24"/>
        </w:rPr>
        <w:t xml:space="preserve"> ПОСТАНОВЛЯЕТ:</w:t>
      </w:r>
    </w:p>
    <w:p w:rsidR="007521AC" w:rsidRPr="00ED504B" w:rsidRDefault="007521AC" w:rsidP="00F25547">
      <w:pPr>
        <w:ind w:firstLine="709"/>
        <w:contextualSpacing/>
        <w:jc w:val="both"/>
        <w:rPr>
          <w:sz w:val="28"/>
          <w:szCs w:val="24"/>
        </w:rPr>
      </w:pPr>
    </w:p>
    <w:p w:rsidR="002E011A" w:rsidRPr="00ED504B" w:rsidRDefault="002E011A" w:rsidP="00ED504B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 w:rsidRPr="00ED504B">
        <w:rPr>
          <w:sz w:val="24"/>
        </w:rPr>
        <w:t xml:space="preserve">          </w:t>
      </w:r>
      <w:r w:rsidRPr="00ED504B">
        <w:rPr>
          <w:rFonts w:ascii="Times New Roman" w:hAnsi="Times New Roman" w:cs="Times New Roman"/>
          <w:sz w:val="28"/>
          <w:szCs w:val="24"/>
        </w:rPr>
        <w:t>1.</w:t>
      </w:r>
      <w:r w:rsidR="00F25547" w:rsidRPr="00ED504B">
        <w:rPr>
          <w:rFonts w:ascii="Times New Roman" w:hAnsi="Times New Roman" w:cs="Times New Roman"/>
          <w:sz w:val="28"/>
          <w:szCs w:val="24"/>
        </w:rPr>
        <w:t xml:space="preserve">Утвердить </w:t>
      </w:r>
      <w:hyperlink w:anchor="Par25" w:history="1">
        <w:r w:rsidR="00F25547" w:rsidRPr="00ED504B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="00F25547" w:rsidRPr="00ED504B">
        <w:rPr>
          <w:rFonts w:ascii="Times New Roman" w:hAnsi="Times New Roman" w:cs="Times New Roman"/>
          <w:sz w:val="28"/>
          <w:szCs w:val="24"/>
        </w:rPr>
        <w:t xml:space="preserve"> главных администраторов доходов бюджета </w:t>
      </w:r>
      <w:r w:rsidR="00ED504B">
        <w:rPr>
          <w:rFonts w:ascii="Times New Roman" w:hAnsi="Times New Roman" w:cs="Times New Roman"/>
          <w:sz w:val="28"/>
          <w:szCs w:val="24"/>
        </w:rPr>
        <w:t>Перекопновского</w:t>
      </w:r>
      <w:r w:rsidR="008E23FC" w:rsidRPr="00ED504B">
        <w:rPr>
          <w:rFonts w:ascii="Times New Roman" w:hAnsi="Times New Roman" w:cs="Times New Roman"/>
          <w:sz w:val="28"/>
          <w:szCs w:val="24"/>
        </w:rPr>
        <w:t xml:space="preserve"> МО</w:t>
      </w:r>
      <w:r w:rsidR="002E5ABB" w:rsidRPr="00ED504B">
        <w:rPr>
          <w:rFonts w:ascii="Times New Roman" w:hAnsi="Times New Roman" w:cs="Times New Roman"/>
          <w:sz w:val="28"/>
          <w:szCs w:val="24"/>
        </w:rPr>
        <w:t xml:space="preserve"> Ершовского муниципального района</w:t>
      </w:r>
      <w:r w:rsidR="008E23FC" w:rsidRPr="00ED504B">
        <w:rPr>
          <w:rFonts w:ascii="Times New Roman" w:hAnsi="Times New Roman" w:cs="Times New Roman"/>
          <w:sz w:val="28"/>
          <w:szCs w:val="24"/>
        </w:rPr>
        <w:t xml:space="preserve"> </w:t>
      </w:r>
      <w:r w:rsidR="002E5ABB" w:rsidRPr="00ED504B">
        <w:rPr>
          <w:rFonts w:ascii="Times New Roman" w:hAnsi="Times New Roman" w:cs="Times New Roman"/>
          <w:sz w:val="28"/>
          <w:szCs w:val="24"/>
        </w:rPr>
        <w:t xml:space="preserve">Саратовской области </w:t>
      </w:r>
      <w:r w:rsidR="00F25547" w:rsidRPr="00ED504B">
        <w:rPr>
          <w:rFonts w:ascii="Times New Roman" w:hAnsi="Times New Roman" w:cs="Times New Roman"/>
          <w:sz w:val="28"/>
          <w:szCs w:val="24"/>
        </w:rPr>
        <w:t>согласно приложению № 1.</w:t>
      </w:r>
    </w:p>
    <w:p w:rsidR="00EB3343" w:rsidRPr="00ED504B" w:rsidRDefault="008E23FC" w:rsidP="00ED504B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 w:rsidRPr="00ED504B">
        <w:rPr>
          <w:rFonts w:ascii="Times New Roman" w:hAnsi="Times New Roman" w:cs="Times New Roman"/>
          <w:sz w:val="28"/>
          <w:szCs w:val="24"/>
        </w:rPr>
        <w:t xml:space="preserve"> </w:t>
      </w:r>
      <w:r w:rsidR="00EB3343" w:rsidRPr="00ED504B">
        <w:rPr>
          <w:rFonts w:ascii="Times New Roman" w:hAnsi="Times New Roman" w:cs="Times New Roman"/>
          <w:sz w:val="28"/>
          <w:szCs w:val="24"/>
        </w:rPr>
        <w:t xml:space="preserve">       </w:t>
      </w:r>
      <w:r w:rsidRPr="00ED504B">
        <w:rPr>
          <w:rFonts w:ascii="Times New Roman" w:hAnsi="Times New Roman" w:cs="Times New Roman"/>
          <w:sz w:val="28"/>
          <w:szCs w:val="24"/>
        </w:rPr>
        <w:t>2</w:t>
      </w:r>
      <w:r w:rsidR="00F25547" w:rsidRPr="00ED504B">
        <w:rPr>
          <w:rFonts w:ascii="Times New Roman" w:hAnsi="Times New Roman" w:cs="Times New Roman"/>
          <w:sz w:val="28"/>
          <w:szCs w:val="24"/>
        </w:rPr>
        <w:t xml:space="preserve">. Утвердить </w:t>
      </w:r>
      <w:hyperlink w:anchor="Par25" w:history="1">
        <w:r w:rsidR="00F25547" w:rsidRPr="00ED504B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="00F25547" w:rsidRPr="00ED504B">
        <w:rPr>
          <w:rFonts w:ascii="Times New Roman" w:hAnsi="Times New Roman" w:cs="Times New Roman"/>
          <w:sz w:val="28"/>
          <w:szCs w:val="24"/>
        </w:rPr>
        <w:t xml:space="preserve"> главных </w:t>
      </w:r>
      <w:proofErr w:type="gramStart"/>
      <w:r w:rsidR="00F25547" w:rsidRPr="00ED504B">
        <w:rPr>
          <w:rFonts w:ascii="Times New Roman" w:hAnsi="Times New Roman" w:cs="Times New Roman"/>
          <w:sz w:val="28"/>
          <w:szCs w:val="24"/>
        </w:rPr>
        <w:t xml:space="preserve">администраторов </w:t>
      </w:r>
      <w:r w:rsidR="00DA23E9" w:rsidRPr="00ED504B">
        <w:rPr>
          <w:rFonts w:ascii="Times New Roman" w:hAnsi="Times New Roman" w:cs="Times New Roman"/>
          <w:sz w:val="28"/>
          <w:szCs w:val="24"/>
        </w:rPr>
        <w:t>источников финансирования дефицита бюджета</w:t>
      </w:r>
      <w:proofErr w:type="gramEnd"/>
      <w:r w:rsidR="00DA23E9" w:rsidRPr="00ED504B">
        <w:rPr>
          <w:rFonts w:ascii="Times New Roman" w:hAnsi="Times New Roman" w:cs="Times New Roman"/>
          <w:sz w:val="28"/>
          <w:szCs w:val="24"/>
        </w:rPr>
        <w:t xml:space="preserve"> </w:t>
      </w:r>
      <w:r w:rsidR="00ED504B">
        <w:rPr>
          <w:rFonts w:ascii="Times New Roman" w:hAnsi="Times New Roman" w:cs="Times New Roman"/>
          <w:sz w:val="28"/>
          <w:szCs w:val="24"/>
        </w:rPr>
        <w:t xml:space="preserve">Перекопновского </w:t>
      </w:r>
      <w:r w:rsidRPr="00ED504B">
        <w:rPr>
          <w:rFonts w:ascii="Times New Roman" w:hAnsi="Times New Roman" w:cs="Times New Roman"/>
          <w:sz w:val="28"/>
          <w:szCs w:val="24"/>
        </w:rPr>
        <w:t xml:space="preserve">МО </w:t>
      </w:r>
      <w:r w:rsidR="002E5ABB" w:rsidRPr="00ED504B">
        <w:rPr>
          <w:rFonts w:ascii="Times New Roman" w:hAnsi="Times New Roman" w:cs="Times New Roman"/>
          <w:sz w:val="28"/>
          <w:szCs w:val="24"/>
        </w:rPr>
        <w:t xml:space="preserve">Ершовского муниципального района Саратовской области </w:t>
      </w:r>
      <w:r w:rsidR="00DA23E9" w:rsidRPr="00ED504B">
        <w:rPr>
          <w:rFonts w:ascii="Times New Roman" w:hAnsi="Times New Roman" w:cs="Times New Roman"/>
          <w:sz w:val="28"/>
          <w:szCs w:val="24"/>
        </w:rPr>
        <w:t>с</w:t>
      </w:r>
      <w:r w:rsidR="00F25547" w:rsidRPr="00ED504B">
        <w:rPr>
          <w:rFonts w:ascii="Times New Roman" w:hAnsi="Times New Roman" w:cs="Times New Roman"/>
          <w:sz w:val="28"/>
          <w:szCs w:val="24"/>
        </w:rPr>
        <w:t xml:space="preserve">огласно приложению № </w:t>
      </w:r>
      <w:r w:rsidR="007521AC" w:rsidRPr="00ED504B">
        <w:rPr>
          <w:rFonts w:ascii="Times New Roman" w:hAnsi="Times New Roman" w:cs="Times New Roman"/>
          <w:sz w:val="28"/>
          <w:szCs w:val="24"/>
        </w:rPr>
        <w:t>2</w:t>
      </w:r>
      <w:r w:rsidR="00F25547" w:rsidRPr="00ED504B">
        <w:rPr>
          <w:rFonts w:ascii="Times New Roman" w:hAnsi="Times New Roman" w:cs="Times New Roman"/>
          <w:sz w:val="28"/>
          <w:szCs w:val="24"/>
        </w:rPr>
        <w:t>.</w:t>
      </w:r>
    </w:p>
    <w:p w:rsidR="00EB3343" w:rsidRPr="00ED504B" w:rsidRDefault="008E23FC" w:rsidP="00ED504B">
      <w:pPr>
        <w:jc w:val="both"/>
        <w:rPr>
          <w:sz w:val="28"/>
          <w:szCs w:val="24"/>
        </w:rPr>
      </w:pPr>
      <w:r w:rsidRPr="00ED504B">
        <w:rPr>
          <w:sz w:val="28"/>
          <w:szCs w:val="24"/>
        </w:rPr>
        <w:t xml:space="preserve">        3</w:t>
      </w:r>
      <w:r w:rsidR="00EB3343" w:rsidRPr="00ED504B">
        <w:rPr>
          <w:sz w:val="28"/>
          <w:szCs w:val="24"/>
        </w:rPr>
        <w:t xml:space="preserve">. </w:t>
      </w:r>
      <w:r w:rsidR="000A612E" w:rsidRPr="00ED504B">
        <w:rPr>
          <w:sz w:val="28"/>
          <w:szCs w:val="24"/>
        </w:rPr>
        <w:t xml:space="preserve">Главные администраторы доходов и источников финансирования дефицита бюджета  разрабатывают и вносят в органы исполнительной власти проекты </w:t>
      </w:r>
      <w:r w:rsidR="000A612E" w:rsidRPr="00ED504B">
        <w:rPr>
          <w:sz w:val="28"/>
          <w:szCs w:val="24"/>
        </w:rPr>
        <w:lastRenderedPageBreak/>
        <w:t>постановлений о</w:t>
      </w:r>
      <w:r w:rsidR="00EB3343" w:rsidRPr="00ED504B">
        <w:rPr>
          <w:sz w:val="28"/>
          <w:szCs w:val="24"/>
        </w:rPr>
        <w:t xml:space="preserve"> внесени</w:t>
      </w:r>
      <w:r w:rsidR="000A612E" w:rsidRPr="00ED504B">
        <w:rPr>
          <w:sz w:val="28"/>
          <w:szCs w:val="24"/>
        </w:rPr>
        <w:t>и</w:t>
      </w:r>
      <w:r w:rsidR="00EB3343" w:rsidRPr="00ED504B">
        <w:rPr>
          <w:sz w:val="28"/>
          <w:szCs w:val="24"/>
        </w:rPr>
        <w:t xml:space="preserve"> изменений в </w:t>
      </w:r>
      <w:r w:rsidR="00EB3343" w:rsidRPr="00ED504B">
        <w:rPr>
          <w:rFonts w:cs="Calibri"/>
          <w:sz w:val="28"/>
          <w:szCs w:val="24"/>
        </w:rPr>
        <w:t>перечень главных администраторов доходов бюджета</w:t>
      </w:r>
      <w:r w:rsidR="00E75974" w:rsidRPr="00ED504B">
        <w:rPr>
          <w:rFonts w:cs="Calibri"/>
          <w:sz w:val="28"/>
          <w:szCs w:val="24"/>
        </w:rPr>
        <w:t xml:space="preserve">  и </w:t>
      </w:r>
      <w:r w:rsidR="00E75974" w:rsidRPr="00ED504B">
        <w:rPr>
          <w:sz w:val="28"/>
          <w:szCs w:val="24"/>
        </w:rPr>
        <w:t>источников финансирования дефицита бюджета</w:t>
      </w:r>
      <w:r w:rsidR="00862B12" w:rsidRPr="00ED504B">
        <w:rPr>
          <w:sz w:val="28"/>
          <w:szCs w:val="24"/>
        </w:rPr>
        <w:t xml:space="preserve">, </w:t>
      </w:r>
      <w:r w:rsidR="00862B12" w:rsidRPr="00ED504B">
        <w:rPr>
          <w:rFonts w:eastAsiaTheme="minorHAnsi"/>
          <w:sz w:val="28"/>
          <w:szCs w:val="24"/>
        </w:rPr>
        <w:t xml:space="preserve">а также в состав закрепленных за ними кодов классификации доходов бюджетов и </w:t>
      </w:r>
      <w:r w:rsidR="00E75974" w:rsidRPr="00ED504B">
        <w:rPr>
          <w:sz w:val="28"/>
          <w:szCs w:val="24"/>
        </w:rPr>
        <w:t xml:space="preserve"> </w:t>
      </w:r>
      <w:r w:rsidR="00862B12" w:rsidRPr="00ED504B">
        <w:rPr>
          <w:sz w:val="28"/>
          <w:szCs w:val="24"/>
        </w:rPr>
        <w:t xml:space="preserve">источников финансирования дефицита бюджета </w:t>
      </w:r>
      <w:r w:rsidR="000A612E" w:rsidRPr="00ED504B">
        <w:rPr>
          <w:sz w:val="28"/>
          <w:szCs w:val="24"/>
        </w:rPr>
        <w:t>в течени</w:t>
      </w:r>
      <w:proofErr w:type="gramStart"/>
      <w:r w:rsidR="000A612E" w:rsidRPr="00ED504B">
        <w:rPr>
          <w:sz w:val="28"/>
          <w:szCs w:val="24"/>
        </w:rPr>
        <w:t>и</w:t>
      </w:r>
      <w:proofErr w:type="gramEnd"/>
      <w:r w:rsidR="000A612E" w:rsidRPr="00ED504B">
        <w:rPr>
          <w:sz w:val="28"/>
          <w:szCs w:val="24"/>
        </w:rPr>
        <w:t xml:space="preserve"> 5 рабочих дней</w:t>
      </w:r>
      <w:r w:rsidR="00E75974" w:rsidRPr="00ED504B">
        <w:rPr>
          <w:sz w:val="28"/>
          <w:szCs w:val="24"/>
        </w:rPr>
        <w:t>.</w:t>
      </w:r>
    </w:p>
    <w:p w:rsidR="00ED74F5" w:rsidRPr="00ED504B" w:rsidRDefault="00EB3343" w:rsidP="00ED504B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 w:rsidRPr="00ED504B">
        <w:rPr>
          <w:sz w:val="28"/>
          <w:szCs w:val="24"/>
        </w:rPr>
        <w:t xml:space="preserve"> </w:t>
      </w:r>
      <w:r w:rsidR="00DA23E9" w:rsidRPr="00ED504B">
        <w:rPr>
          <w:sz w:val="28"/>
          <w:szCs w:val="24"/>
        </w:rPr>
        <w:t xml:space="preserve">       </w:t>
      </w:r>
      <w:r w:rsidR="00D92AF3" w:rsidRPr="00ED504B">
        <w:rPr>
          <w:sz w:val="28"/>
          <w:szCs w:val="24"/>
        </w:rPr>
        <w:t xml:space="preserve">  </w:t>
      </w:r>
      <w:r w:rsidR="002E5ABB" w:rsidRPr="00ED504B">
        <w:rPr>
          <w:rFonts w:ascii="Times New Roman" w:hAnsi="Times New Roman" w:cs="Times New Roman"/>
          <w:sz w:val="28"/>
          <w:szCs w:val="24"/>
        </w:rPr>
        <w:t>4</w:t>
      </w:r>
      <w:r w:rsidR="00DA23E9" w:rsidRPr="00ED504B">
        <w:rPr>
          <w:rFonts w:ascii="Times New Roman" w:hAnsi="Times New Roman" w:cs="Times New Roman"/>
          <w:sz w:val="28"/>
          <w:szCs w:val="24"/>
        </w:rPr>
        <w:t>.</w:t>
      </w:r>
      <w:r w:rsidR="00D92AF3" w:rsidRPr="00ED504B">
        <w:rPr>
          <w:rFonts w:ascii="Times New Roman" w:hAnsi="Times New Roman" w:cs="Times New Roman"/>
          <w:sz w:val="28"/>
          <w:szCs w:val="24"/>
        </w:rPr>
        <w:t xml:space="preserve"> </w:t>
      </w:r>
      <w:r w:rsidR="00F25547" w:rsidRPr="00ED504B">
        <w:rPr>
          <w:rFonts w:ascii="Times New Roman" w:hAnsi="Times New Roman" w:cs="Times New Roman"/>
          <w:sz w:val="28"/>
          <w:szCs w:val="24"/>
        </w:rPr>
        <w:t xml:space="preserve">Настоящее постановление </w:t>
      </w:r>
      <w:r w:rsidR="004F5FD1" w:rsidRPr="00ED504B">
        <w:rPr>
          <w:rFonts w:ascii="Times New Roman" w:hAnsi="Times New Roman" w:cs="Times New Roman"/>
          <w:sz w:val="28"/>
          <w:szCs w:val="24"/>
        </w:rPr>
        <w:t xml:space="preserve"> вступает в силу со дня его официального опубликования и </w:t>
      </w:r>
      <w:r w:rsidR="00F25547" w:rsidRPr="00ED504B">
        <w:rPr>
          <w:rFonts w:ascii="Times New Roman" w:hAnsi="Times New Roman" w:cs="Times New Roman"/>
          <w:sz w:val="28"/>
          <w:szCs w:val="24"/>
        </w:rPr>
        <w:t>применяется к правоотношениям, возникающим при составлении и исполнении бюджета</w:t>
      </w:r>
      <w:r w:rsidR="004F5FD1" w:rsidRPr="00ED504B">
        <w:rPr>
          <w:rFonts w:ascii="Times New Roman" w:hAnsi="Times New Roman" w:cs="Times New Roman"/>
          <w:sz w:val="28"/>
          <w:szCs w:val="24"/>
        </w:rPr>
        <w:t xml:space="preserve"> </w:t>
      </w:r>
      <w:r w:rsidR="00ED504B">
        <w:rPr>
          <w:rFonts w:ascii="Times New Roman" w:hAnsi="Times New Roman" w:cs="Times New Roman"/>
          <w:sz w:val="28"/>
          <w:szCs w:val="24"/>
        </w:rPr>
        <w:t>Перекопновского</w:t>
      </w:r>
      <w:r w:rsidR="008E23FC" w:rsidRPr="00ED504B">
        <w:rPr>
          <w:rFonts w:ascii="Times New Roman" w:hAnsi="Times New Roman" w:cs="Times New Roman"/>
          <w:sz w:val="28"/>
          <w:szCs w:val="24"/>
        </w:rPr>
        <w:t xml:space="preserve"> МО </w:t>
      </w:r>
      <w:r w:rsidR="004F5FD1" w:rsidRPr="00ED504B">
        <w:rPr>
          <w:rFonts w:ascii="Times New Roman" w:hAnsi="Times New Roman" w:cs="Times New Roman"/>
          <w:sz w:val="28"/>
          <w:szCs w:val="24"/>
        </w:rPr>
        <w:t>Ершовского муниципального района</w:t>
      </w:r>
      <w:r w:rsidR="00F25547" w:rsidRPr="00ED504B">
        <w:rPr>
          <w:rFonts w:ascii="Times New Roman" w:hAnsi="Times New Roman" w:cs="Times New Roman"/>
          <w:sz w:val="28"/>
          <w:szCs w:val="24"/>
        </w:rPr>
        <w:t>, начиная с бюджета на 2022 год и на плановый период 2023 и 2024 годов.</w:t>
      </w:r>
      <w:r w:rsidR="00DA23E9" w:rsidRPr="00ED50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23E9" w:rsidRPr="00ED504B" w:rsidRDefault="00DA23E9" w:rsidP="00862B12">
      <w:pPr>
        <w:pStyle w:val="a8"/>
        <w:rPr>
          <w:rFonts w:ascii="Times New Roman" w:hAnsi="Times New Roman" w:cs="Times New Roman"/>
          <w:sz w:val="28"/>
          <w:szCs w:val="24"/>
        </w:rPr>
      </w:pPr>
      <w:r w:rsidRPr="00ED504B">
        <w:rPr>
          <w:rFonts w:ascii="Times New Roman" w:hAnsi="Times New Roman" w:cs="Times New Roman"/>
          <w:sz w:val="28"/>
          <w:szCs w:val="24"/>
        </w:rPr>
        <w:t xml:space="preserve">       </w:t>
      </w:r>
      <w:r w:rsidR="00D512BB" w:rsidRPr="00ED504B">
        <w:rPr>
          <w:rFonts w:ascii="Times New Roman" w:hAnsi="Times New Roman" w:cs="Times New Roman"/>
          <w:sz w:val="28"/>
          <w:szCs w:val="24"/>
        </w:rPr>
        <w:t xml:space="preserve">  5</w:t>
      </w:r>
      <w:r w:rsidRPr="00ED504B">
        <w:rPr>
          <w:rFonts w:ascii="Times New Roman" w:hAnsi="Times New Roman" w:cs="Times New Roman"/>
          <w:sz w:val="28"/>
          <w:szCs w:val="24"/>
        </w:rPr>
        <w:t>.</w:t>
      </w:r>
      <w:r w:rsidR="000C39C8" w:rsidRPr="00ED504B">
        <w:rPr>
          <w:rFonts w:ascii="Times New Roman" w:hAnsi="Times New Roman" w:cs="Times New Roman"/>
          <w:sz w:val="28"/>
          <w:szCs w:val="24"/>
        </w:rPr>
        <w:t>Р</w:t>
      </w:r>
      <w:r w:rsidR="00ED74F5" w:rsidRPr="00ED504B">
        <w:rPr>
          <w:rFonts w:ascii="Times New Roman" w:hAnsi="Times New Roman" w:cs="Times New Roman"/>
          <w:sz w:val="28"/>
          <w:szCs w:val="24"/>
        </w:rPr>
        <w:t>азместить настоящее постановление на официальном сайте администрации Ершовского муниципального района</w:t>
      </w:r>
      <w:r w:rsidR="004A5D3D" w:rsidRPr="00ED504B">
        <w:rPr>
          <w:rFonts w:ascii="Times New Roman" w:hAnsi="Times New Roman" w:cs="Times New Roman"/>
          <w:sz w:val="28"/>
          <w:szCs w:val="24"/>
        </w:rPr>
        <w:t xml:space="preserve"> Саратовской области в сети интернет</w:t>
      </w:r>
      <w:r w:rsidR="00ED74F5" w:rsidRPr="00ED504B">
        <w:rPr>
          <w:rFonts w:ascii="Times New Roman" w:hAnsi="Times New Roman" w:cs="Times New Roman"/>
          <w:sz w:val="28"/>
          <w:szCs w:val="24"/>
        </w:rPr>
        <w:t>.</w:t>
      </w:r>
    </w:p>
    <w:p w:rsidR="00ED74F5" w:rsidRDefault="00862B12" w:rsidP="00ED504B">
      <w:pPr>
        <w:pStyle w:val="a8"/>
        <w:rPr>
          <w:rFonts w:ascii="Times New Roman" w:hAnsi="Times New Roman" w:cs="Times New Roman"/>
          <w:sz w:val="28"/>
          <w:szCs w:val="24"/>
        </w:rPr>
      </w:pPr>
      <w:r w:rsidRPr="00ED504B">
        <w:rPr>
          <w:rFonts w:ascii="Times New Roman" w:hAnsi="Times New Roman" w:cs="Times New Roman"/>
          <w:sz w:val="28"/>
          <w:szCs w:val="24"/>
        </w:rPr>
        <w:t xml:space="preserve">       </w:t>
      </w:r>
      <w:r w:rsidR="00D512BB" w:rsidRPr="00ED504B">
        <w:rPr>
          <w:rFonts w:ascii="Times New Roman" w:hAnsi="Times New Roman" w:cs="Times New Roman"/>
          <w:sz w:val="28"/>
          <w:szCs w:val="24"/>
        </w:rPr>
        <w:t xml:space="preserve">  6</w:t>
      </w:r>
      <w:r w:rsidR="00ED74F5" w:rsidRPr="00ED50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ED74F5" w:rsidRPr="00ED504B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ED74F5" w:rsidRPr="00ED504B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</w:t>
      </w:r>
      <w:r w:rsidR="002E5ABB" w:rsidRPr="00ED504B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P16"/>
      <w:bookmarkEnd w:id="0"/>
      <w:r w:rsidR="00ED504B">
        <w:rPr>
          <w:rFonts w:ascii="Times New Roman" w:hAnsi="Times New Roman" w:cs="Times New Roman"/>
          <w:sz w:val="28"/>
          <w:szCs w:val="24"/>
        </w:rPr>
        <w:t xml:space="preserve">ведущего специалиста администрации Перекопновского МО </w:t>
      </w:r>
      <w:proofErr w:type="spellStart"/>
      <w:r w:rsidR="00ED504B">
        <w:rPr>
          <w:rFonts w:ascii="Times New Roman" w:hAnsi="Times New Roman" w:cs="Times New Roman"/>
          <w:sz w:val="28"/>
          <w:szCs w:val="24"/>
        </w:rPr>
        <w:t>Хахулину</w:t>
      </w:r>
      <w:proofErr w:type="spellEnd"/>
      <w:r w:rsidR="00ED504B">
        <w:rPr>
          <w:rFonts w:ascii="Times New Roman" w:hAnsi="Times New Roman" w:cs="Times New Roman"/>
          <w:sz w:val="28"/>
          <w:szCs w:val="24"/>
        </w:rPr>
        <w:t xml:space="preserve"> Е. В.</w:t>
      </w:r>
    </w:p>
    <w:p w:rsidR="00ED504B" w:rsidRPr="00ED504B" w:rsidRDefault="00ED504B" w:rsidP="00ED504B">
      <w:pPr>
        <w:pStyle w:val="a8"/>
        <w:rPr>
          <w:sz w:val="28"/>
          <w:szCs w:val="24"/>
        </w:rPr>
      </w:pPr>
    </w:p>
    <w:p w:rsidR="00ED74F5" w:rsidRPr="00ED504B" w:rsidRDefault="00ED74F5" w:rsidP="00ED74F5">
      <w:pPr>
        <w:spacing w:after="1" w:line="220" w:lineRule="atLeast"/>
        <w:jc w:val="both"/>
        <w:rPr>
          <w:sz w:val="28"/>
          <w:szCs w:val="24"/>
        </w:rPr>
      </w:pPr>
      <w:r w:rsidRPr="00ED504B">
        <w:rPr>
          <w:sz w:val="28"/>
          <w:szCs w:val="24"/>
        </w:rPr>
        <w:t xml:space="preserve">Глава </w:t>
      </w:r>
      <w:r w:rsidR="008E23FC" w:rsidRPr="00ED504B">
        <w:rPr>
          <w:sz w:val="28"/>
          <w:szCs w:val="24"/>
        </w:rPr>
        <w:t xml:space="preserve"> м</w:t>
      </w:r>
      <w:r w:rsidRPr="00ED504B">
        <w:rPr>
          <w:sz w:val="28"/>
          <w:szCs w:val="24"/>
        </w:rPr>
        <w:t xml:space="preserve">униципального </w:t>
      </w:r>
      <w:r w:rsidR="008E23FC" w:rsidRPr="00ED504B">
        <w:rPr>
          <w:sz w:val="28"/>
          <w:szCs w:val="24"/>
        </w:rPr>
        <w:t xml:space="preserve">образования </w:t>
      </w:r>
      <w:r w:rsidRPr="00ED504B">
        <w:rPr>
          <w:sz w:val="28"/>
          <w:szCs w:val="24"/>
        </w:rPr>
        <w:t xml:space="preserve">          </w:t>
      </w:r>
      <w:r w:rsidR="008E23FC" w:rsidRPr="00ED504B">
        <w:rPr>
          <w:sz w:val="28"/>
          <w:szCs w:val="24"/>
        </w:rPr>
        <w:t xml:space="preserve"> </w:t>
      </w:r>
      <w:r w:rsidR="00236B6E">
        <w:rPr>
          <w:sz w:val="28"/>
          <w:szCs w:val="24"/>
        </w:rPr>
        <w:t xml:space="preserve">                 </w:t>
      </w:r>
      <w:r w:rsidR="008E23FC" w:rsidRPr="00ED504B">
        <w:rPr>
          <w:sz w:val="28"/>
          <w:szCs w:val="24"/>
        </w:rPr>
        <w:t xml:space="preserve">       </w:t>
      </w:r>
      <w:r w:rsidR="00236B6E">
        <w:rPr>
          <w:sz w:val="28"/>
          <w:szCs w:val="24"/>
        </w:rPr>
        <w:t>Е. Н. Писарева</w:t>
      </w:r>
      <w:r w:rsidR="008E23FC" w:rsidRPr="00ED504B">
        <w:rPr>
          <w:sz w:val="28"/>
          <w:szCs w:val="24"/>
        </w:rPr>
        <w:t xml:space="preserve">           </w:t>
      </w:r>
    </w:p>
    <w:p w:rsidR="00F25547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ED504B">
        <w:rPr>
          <w:rFonts w:ascii="Times New Roman" w:hAnsi="Times New Roman"/>
          <w:sz w:val="32"/>
          <w:szCs w:val="28"/>
        </w:rPr>
        <w:t xml:space="preserve">  </w:t>
      </w: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36B6E" w:rsidRPr="0025327E" w:rsidRDefault="00236B6E" w:rsidP="00236B6E">
      <w:pPr>
        <w:shd w:val="clear" w:color="auto" w:fill="FFFFFF"/>
        <w:spacing w:line="312" w:lineRule="exact"/>
        <w:ind w:left="6372"/>
        <w:rPr>
          <w:color w:val="000000"/>
          <w:spacing w:val="3"/>
          <w:sz w:val="22"/>
          <w:szCs w:val="22"/>
        </w:rPr>
      </w:pPr>
      <w:r w:rsidRPr="0025327E">
        <w:rPr>
          <w:color w:val="000000"/>
          <w:spacing w:val="2"/>
          <w:sz w:val="22"/>
          <w:szCs w:val="22"/>
        </w:rPr>
        <w:lastRenderedPageBreak/>
        <w:t xml:space="preserve">Приложение № </w:t>
      </w:r>
      <w:r>
        <w:rPr>
          <w:color w:val="000000"/>
          <w:spacing w:val="2"/>
          <w:sz w:val="22"/>
          <w:szCs w:val="22"/>
        </w:rPr>
        <w:t>1</w:t>
      </w:r>
      <w:r w:rsidRPr="0025327E">
        <w:rPr>
          <w:color w:val="000000"/>
          <w:spacing w:val="2"/>
          <w:sz w:val="22"/>
          <w:szCs w:val="22"/>
        </w:rPr>
        <w:t xml:space="preserve"> к </w:t>
      </w:r>
      <w:r>
        <w:rPr>
          <w:color w:val="000000"/>
          <w:spacing w:val="2"/>
          <w:sz w:val="22"/>
          <w:szCs w:val="22"/>
        </w:rPr>
        <w:t>постановлению администрации Перекопновского МО</w:t>
      </w:r>
      <w:r w:rsidRPr="0025327E">
        <w:rPr>
          <w:color w:val="000000"/>
          <w:spacing w:val="3"/>
          <w:sz w:val="22"/>
          <w:szCs w:val="22"/>
        </w:rPr>
        <w:t xml:space="preserve"> </w:t>
      </w:r>
    </w:p>
    <w:p w:rsidR="00236B6E" w:rsidRPr="0025327E" w:rsidRDefault="00236B6E" w:rsidP="00236B6E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 xml:space="preserve"> 24</w:t>
      </w:r>
      <w:r w:rsidRPr="0025327E">
        <w:rPr>
          <w:sz w:val="22"/>
          <w:szCs w:val="22"/>
          <w:u w:val="single"/>
        </w:rPr>
        <w:t>.12.20</w:t>
      </w:r>
      <w:r>
        <w:rPr>
          <w:sz w:val="22"/>
          <w:szCs w:val="22"/>
          <w:u w:val="single"/>
        </w:rPr>
        <w:t>21</w:t>
      </w:r>
      <w:r w:rsidRPr="0025327E">
        <w:rPr>
          <w:sz w:val="22"/>
          <w:szCs w:val="22"/>
          <w:u w:val="single"/>
        </w:rPr>
        <w:t xml:space="preserve"> года  </w:t>
      </w:r>
      <w:r>
        <w:rPr>
          <w:sz w:val="22"/>
          <w:szCs w:val="22"/>
          <w:u w:val="single"/>
        </w:rPr>
        <w:t xml:space="preserve"> </w:t>
      </w:r>
      <w:r w:rsidRPr="0025327E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62</w:t>
      </w:r>
      <w:r w:rsidRPr="0025327E">
        <w:rPr>
          <w:sz w:val="22"/>
          <w:szCs w:val="22"/>
          <w:u w:val="single"/>
        </w:rPr>
        <w:t xml:space="preserve">  </w:t>
      </w:r>
    </w:p>
    <w:p w:rsidR="00236B6E" w:rsidRDefault="00236B6E" w:rsidP="00236B6E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>доходов бюджет</w:t>
      </w:r>
      <w:r>
        <w:rPr>
          <w:b/>
          <w:bCs/>
          <w:color w:val="212121"/>
          <w:spacing w:val="2"/>
          <w:sz w:val="24"/>
          <w:szCs w:val="24"/>
        </w:rPr>
        <w:t>а Перекопновского муниципального образования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 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Ершовского </w:t>
      </w:r>
      <w:r w:rsidRPr="0035791B">
        <w:rPr>
          <w:b/>
          <w:bCs/>
          <w:color w:val="000000"/>
          <w:spacing w:val="3"/>
          <w:sz w:val="24"/>
          <w:szCs w:val="24"/>
        </w:rPr>
        <w:t>муниципального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 w:rsidRPr="009E4B42">
        <w:rPr>
          <w:b/>
          <w:bCs/>
          <w:color w:val="000000"/>
          <w:spacing w:val="3"/>
          <w:sz w:val="24"/>
          <w:szCs w:val="24"/>
        </w:rPr>
        <w:t>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вской области </w:t>
      </w:r>
    </w:p>
    <w:tbl>
      <w:tblPr>
        <w:tblW w:w="2985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2555"/>
        <w:gridCol w:w="6943"/>
        <w:gridCol w:w="19286"/>
      </w:tblGrid>
      <w:tr w:rsidR="00236B6E" w:rsidTr="00040375">
        <w:trPr>
          <w:trHeight w:hRule="exact" w:val="348"/>
        </w:trPr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69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236B6E" w:rsidRDefault="00236B6E" w:rsidP="0004037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236B6E" w:rsidRDefault="00236B6E" w:rsidP="00040375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236B6E" w:rsidRDefault="00236B6E" w:rsidP="00040375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28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  <w:p w:rsidR="00236B6E" w:rsidRDefault="00236B6E" w:rsidP="00040375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236B6E" w:rsidRDefault="00236B6E" w:rsidP="00040375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36B6E" w:rsidTr="00040375">
        <w:trPr>
          <w:trHeight w:hRule="exact" w:val="1298"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69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28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236B6E" w:rsidTr="00040375">
        <w:trPr>
          <w:trHeight w:hRule="exact" w:val="283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ind w:left="2477"/>
            </w:pPr>
          </w:p>
        </w:tc>
      </w:tr>
      <w:tr w:rsidR="00236B6E" w:rsidTr="00040375">
        <w:trPr>
          <w:gridAfter w:val="1"/>
          <w:wAfter w:w="19286" w:type="dxa"/>
          <w:trHeight w:hRule="exact" w:val="56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6B6E" w:rsidTr="00040375">
        <w:trPr>
          <w:gridAfter w:val="1"/>
          <w:wAfter w:w="19286" w:type="dxa"/>
          <w:trHeight w:hRule="exact" w:val="2261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jc w:val="both"/>
              <w:rPr>
                <w:sz w:val="24"/>
                <w:szCs w:val="24"/>
              </w:rPr>
            </w:pPr>
            <w:r w:rsidRPr="0035791B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6B6E" w:rsidTr="00040375">
        <w:trPr>
          <w:gridAfter w:val="1"/>
          <w:wAfter w:w="19286" w:type="dxa"/>
          <w:trHeight w:hRule="exact" w:val="226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jc w:val="both"/>
              <w:rPr>
                <w:sz w:val="24"/>
                <w:szCs w:val="24"/>
              </w:rPr>
            </w:pPr>
            <w:r w:rsidRPr="0035791B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791B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35791B">
              <w:rPr>
                <w:rFonts w:eastAsia="Calibr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bookmarkStart w:id="1" w:name="_GoBack"/>
            <w:bookmarkEnd w:id="1"/>
            <w:r w:rsidRPr="0035791B">
              <w:rPr>
                <w:rFonts w:eastAsia="Calibri"/>
                <w:sz w:val="24"/>
                <w:szCs w:val="24"/>
                <w:lang w:eastAsia="en-US"/>
              </w:rPr>
              <w:t>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6B6E" w:rsidTr="00040375">
        <w:trPr>
          <w:gridAfter w:val="1"/>
          <w:wAfter w:w="19286" w:type="dxa"/>
          <w:trHeight w:hRule="exact" w:val="22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35791B" w:rsidRDefault="00236B6E" w:rsidP="000403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791B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6B6E" w:rsidTr="00040375">
        <w:trPr>
          <w:gridAfter w:val="1"/>
          <w:wAfter w:w="19286" w:type="dxa"/>
          <w:trHeight w:hRule="exact" w:val="213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5791B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6B6E" w:rsidTr="00040375">
        <w:trPr>
          <w:gridAfter w:val="1"/>
          <w:wAfter w:w="19286" w:type="dxa"/>
          <w:trHeight w:hRule="exact" w:val="86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236B6E" w:rsidTr="00040375">
        <w:trPr>
          <w:gridAfter w:val="1"/>
          <w:wAfter w:w="19286" w:type="dxa"/>
          <w:trHeight w:hRule="exact" w:val="242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AE5F80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AE5F80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>116010123 01 0101 140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AE5F80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5F8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36B6E" w:rsidTr="00040375">
        <w:trPr>
          <w:gridAfter w:val="1"/>
          <w:wAfter w:w="19286" w:type="dxa"/>
          <w:trHeight w:hRule="exact" w:val="68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1F16BC" w:rsidRDefault="00236B6E" w:rsidP="0004037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236B6E" w:rsidTr="00040375">
        <w:trPr>
          <w:gridAfter w:val="1"/>
          <w:wAfter w:w="19286" w:type="dxa"/>
          <w:trHeight w:hRule="exact" w:val="143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84040">
              <w:rPr>
                <w:sz w:val="24"/>
                <w:szCs w:val="24"/>
              </w:rPr>
              <w:t>182</w:t>
            </w:r>
          </w:p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101 02010 01 0000 110</w:t>
            </w:r>
          </w:p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B00A53" w:rsidRDefault="00236B6E" w:rsidP="000403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00A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B00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B00A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B00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B00A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B00A5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236B6E" w:rsidRDefault="00236B6E" w:rsidP="00040375">
            <w:pPr>
              <w:pStyle w:val="a8"/>
              <w:rPr>
                <w:sz w:val="24"/>
                <w:szCs w:val="24"/>
              </w:rPr>
            </w:pPr>
          </w:p>
          <w:p w:rsidR="00236B6E" w:rsidRDefault="00236B6E" w:rsidP="00040375">
            <w:pPr>
              <w:pStyle w:val="a8"/>
              <w:rPr>
                <w:sz w:val="24"/>
                <w:szCs w:val="24"/>
              </w:rPr>
            </w:pPr>
          </w:p>
          <w:p w:rsidR="00236B6E" w:rsidRPr="00205631" w:rsidRDefault="00236B6E" w:rsidP="00040375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236B6E" w:rsidTr="00040375">
        <w:trPr>
          <w:gridAfter w:val="1"/>
          <w:wAfter w:w="19286" w:type="dxa"/>
          <w:trHeight w:hRule="exact" w:val="186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84040">
                <w:rPr>
                  <w:rStyle w:val="aa"/>
                  <w:sz w:val="24"/>
                  <w:szCs w:val="24"/>
                </w:rPr>
                <w:t>статьей 227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236B6E" w:rsidRPr="00484040" w:rsidRDefault="00236B6E" w:rsidP="0004037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36B6E" w:rsidTr="00040375">
        <w:trPr>
          <w:gridAfter w:val="1"/>
          <w:wAfter w:w="19286" w:type="dxa"/>
          <w:trHeight w:hRule="exact" w:val="8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101 02030 01 0000 110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84040">
                <w:rPr>
                  <w:rStyle w:val="aa"/>
                  <w:sz w:val="24"/>
                  <w:szCs w:val="24"/>
                </w:rPr>
                <w:t>статьей 228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36B6E" w:rsidTr="00040375">
        <w:trPr>
          <w:gridAfter w:val="1"/>
          <w:wAfter w:w="19286" w:type="dxa"/>
          <w:trHeight w:hRule="exact" w:val="15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101 02040 01 0000 110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484040">
                <w:rPr>
                  <w:rStyle w:val="aa"/>
                  <w:sz w:val="24"/>
                  <w:szCs w:val="24"/>
                </w:rPr>
                <w:t>статьей 227.1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36B6E" w:rsidTr="00040375">
        <w:trPr>
          <w:gridAfter w:val="1"/>
          <w:wAfter w:w="19286" w:type="dxa"/>
          <w:trHeight w:hRule="exact" w:val="15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101 02080 01 0000 110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sz w:val="24"/>
                <w:szCs w:val="24"/>
              </w:rPr>
              <w:t>*</w:t>
            </w: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236B6E" w:rsidRPr="00484040" w:rsidRDefault="00236B6E" w:rsidP="00040375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36B6E" w:rsidTr="00040375">
        <w:trPr>
          <w:gridAfter w:val="1"/>
          <w:wAfter w:w="19286" w:type="dxa"/>
          <w:trHeight w:hRule="exact" w:val="39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105 03010 01 0000 110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484040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236B6E" w:rsidTr="00040375">
        <w:trPr>
          <w:gridAfter w:val="1"/>
          <w:wAfter w:w="19286" w:type="dxa"/>
          <w:trHeight w:hRule="exact" w:val="57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105 03020 01 0000 110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6716C5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236B6E" w:rsidTr="00040375">
        <w:trPr>
          <w:gridAfter w:val="1"/>
          <w:wAfter w:w="19286" w:type="dxa"/>
          <w:trHeight w:hRule="exact" w:val="84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6716C5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6716C5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236B6E" w:rsidTr="00040375">
        <w:trPr>
          <w:gridAfter w:val="1"/>
          <w:wAfter w:w="19286" w:type="dxa"/>
          <w:trHeight w:hRule="exact" w:val="57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526C66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526C66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236B6E" w:rsidTr="00040375">
        <w:trPr>
          <w:gridAfter w:val="1"/>
          <w:wAfter w:w="19286" w:type="dxa"/>
          <w:trHeight w:hRule="exact" w:val="55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6E" w:rsidRDefault="00236B6E" w:rsidP="00040375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B6E" w:rsidRPr="00526C66" w:rsidRDefault="00236B6E" w:rsidP="00040375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</w:t>
            </w:r>
            <w:r w:rsidRPr="00526C66">
              <w:rPr>
                <w:sz w:val="24"/>
                <w:szCs w:val="24"/>
              </w:rPr>
              <w:t>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236B6E" w:rsidTr="00040375">
        <w:trPr>
          <w:gridAfter w:val="1"/>
          <w:wAfter w:w="19286" w:type="dxa"/>
          <w:trHeight w:hRule="exact" w:val="67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Pr="001E6F9D" w:rsidRDefault="00236B6E" w:rsidP="0004037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6E" w:rsidRDefault="00236B6E" w:rsidP="00040375">
            <w:pPr>
              <w:shd w:val="clear" w:color="auto" w:fill="FFFFFF"/>
              <w:jc w:val="center"/>
            </w:pP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6E" w:rsidRPr="008075D2" w:rsidRDefault="00236B6E" w:rsidP="00040375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Перекопновского</w:t>
            </w: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 образования</w:t>
            </w:r>
          </w:p>
          <w:p w:rsidR="00236B6E" w:rsidRPr="008075D2" w:rsidRDefault="00236B6E" w:rsidP="00040375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236B6E" w:rsidRPr="00EE2A7D" w:rsidRDefault="00236B6E" w:rsidP="00040375">
            <w:pPr>
              <w:rPr>
                <w:b/>
                <w:sz w:val="24"/>
                <w:szCs w:val="24"/>
              </w:rPr>
            </w:pPr>
          </w:p>
        </w:tc>
      </w:tr>
      <w:tr w:rsidR="00236B6E" w:rsidTr="00040375">
        <w:trPr>
          <w:gridAfter w:val="1"/>
          <w:wAfter w:w="19286" w:type="dxa"/>
          <w:trHeight w:hRule="exact" w:val="12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B6E" w:rsidRPr="008075D2" w:rsidRDefault="008C5D48" w:rsidP="008C5D48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B6E" w:rsidRPr="008075D2" w:rsidRDefault="00236B6E" w:rsidP="00040375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108 04020 01 </w:t>
            </w: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6E" w:rsidRPr="008075D2" w:rsidRDefault="00236B6E" w:rsidP="00040375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8C5D48" w:rsidTr="00CA0EA6">
        <w:trPr>
          <w:gridAfter w:val="1"/>
          <w:wAfter w:w="19286" w:type="dxa"/>
          <w:trHeight w:hRule="exact" w:val="12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108 04020 01 4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8C5D48" w:rsidTr="00CA0EA6">
        <w:trPr>
          <w:gridAfter w:val="1"/>
          <w:wAfter w:w="19286" w:type="dxa"/>
          <w:trHeight w:hRule="exact" w:val="1273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 111 05035 10 0000 120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45" w:lineRule="exact"/>
              <w:ind w:right="24" w:firstLine="5"/>
              <w:jc w:val="both"/>
              <w:rPr>
                <w:sz w:val="24"/>
                <w:szCs w:val="24"/>
              </w:rPr>
            </w:pPr>
            <w:r w:rsidRPr="008075D2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5D48" w:rsidTr="00CA0EA6">
        <w:trPr>
          <w:gridAfter w:val="1"/>
          <w:wAfter w:w="19286" w:type="dxa"/>
          <w:trHeight w:hRule="exact" w:val="156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7"/>
                <w:sz w:val="24"/>
                <w:szCs w:val="24"/>
              </w:rPr>
              <w:t xml:space="preserve">   114 02053 10 0000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45" w:lineRule="exact"/>
              <w:ind w:right="53" w:hanging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указанному имущ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ству</w:t>
            </w:r>
          </w:p>
        </w:tc>
      </w:tr>
      <w:tr w:rsidR="008C5D48" w:rsidTr="00CA0EA6">
        <w:trPr>
          <w:gridAfter w:val="1"/>
          <w:wAfter w:w="19286" w:type="dxa"/>
          <w:trHeight w:hRule="exact" w:val="15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114 02053 10 0000  440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45" w:lineRule="exact"/>
              <w:ind w:right="58" w:hanging="19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8075D2">
              <w:rPr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8C5D48" w:rsidTr="00CA0EA6">
        <w:trPr>
          <w:gridAfter w:val="1"/>
          <w:wAfter w:w="19286" w:type="dxa"/>
          <w:trHeight w:hRule="exact" w:val="113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116 02020 02 0000 140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B00A53" w:rsidRDefault="008C5D48" w:rsidP="000403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A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5D48" w:rsidTr="00CA0EA6">
        <w:trPr>
          <w:gridAfter w:val="1"/>
          <w:wAfter w:w="19286" w:type="dxa"/>
          <w:trHeight w:hRule="exact" w:val="58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117 01050 10 0000 180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8C5D48" w:rsidTr="00CA0EA6">
        <w:trPr>
          <w:gridAfter w:val="1"/>
          <w:wAfter w:w="19286" w:type="dxa"/>
          <w:trHeight w:hRule="exact" w:val="85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  202 16001 10 0001 150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8C5D48" w:rsidTr="00CA0EA6">
        <w:trPr>
          <w:gridAfter w:val="1"/>
          <w:wAfter w:w="19286" w:type="dxa"/>
          <w:trHeight w:hRule="exact" w:val="84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8C5D48" w:rsidTr="00CA0EA6">
        <w:trPr>
          <w:gridAfter w:val="1"/>
          <w:wAfter w:w="19286" w:type="dxa"/>
          <w:trHeight w:hRule="exact" w:val="84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202 25243 10 0000 150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35791B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5791B">
              <w:rPr>
                <w:color w:val="000000"/>
                <w:spacing w:val="-3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8C5D48" w:rsidTr="00CA0EA6">
        <w:trPr>
          <w:gridAfter w:val="1"/>
          <w:wAfter w:w="19286" w:type="dxa"/>
          <w:trHeight w:hRule="exact" w:val="1283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Default="008C5D48" w:rsidP="0004037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202 25299 10 0000 150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35791B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5791B">
              <w:rPr>
                <w:color w:val="000000"/>
                <w:spacing w:val="-3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5791B">
              <w:rPr>
                <w:color w:val="000000"/>
                <w:spacing w:val="-3"/>
                <w:sz w:val="24"/>
                <w:szCs w:val="24"/>
              </w:rPr>
              <w:t>софинансирование</w:t>
            </w:r>
            <w:proofErr w:type="spellEnd"/>
            <w:r w:rsidRPr="0035791B">
              <w:rPr>
                <w:color w:val="000000"/>
                <w:spacing w:val="-3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8C5D48" w:rsidTr="00CA0EA6">
        <w:trPr>
          <w:gridAfter w:val="1"/>
          <w:wAfter w:w="19286" w:type="dxa"/>
          <w:trHeight w:hRule="exact" w:val="43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субсидии бюджетам сельских поселений* </w:t>
            </w:r>
          </w:p>
        </w:tc>
      </w:tr>
      <w:tr w:rsidR="008C5D48" w:rsidTr="00CA0EA6">
        <w:trPr>
          <w:gridAfter w:val="1"/>
          <w:wAfter w:w="19286" w:type="dxa"/>
          <w:trHeight w:hRule="exact" w:val="83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202 35118 10 0000 150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  <w:spacing w:val="-3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8C5D48" w:rsidTr="00CA0EA6">
        <w:trPr>
          <w:gridAfter w:val="1"/>
          <w:wAfter w:w="19286" w:type="dxa"/>
          <w:trHeight w:hRule="exact" w:val="5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lastRenderedPageBreak/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D48" w:rsidRPr="008075D2" w:rsidRDefault="008C5D48" w:rsidP="00040375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межбюджетные трансферты, передаваемые бюджетам сельских поселений* </w:t>
            </w:r>
          </w:p>
        </w:tc>
      </w:tr>
      <w:tr w:rsidR="008C5D48" w:rsidTr="00040375">
        <w:trPr>
          <w:gridAfter w:val="1"/>
          <w:wAfter w:w="19286" w:type="dxa"/>
          <w:trHeight w:hRule="exact" w:val="57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Default="008C5D48" w:rsidP="008C5D48">
            <w:pPr>
              <w:jc w:val="center"/>
            </w:pPr>
            <w:r w:rsidRPr="007E4D1D">
              <w:rPr>
                <w:sz w:val="24"/>
                <w:szCs w:val="24"/>
              </w:rPr>
              <w:t>730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207 050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>0 10 0000  150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D48" w:rsidRPr="008075D2" w:rsidRDefault="008C5D48" w:rsidP="00040375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C5D48" w:rsidRPr="008075D2" w:rsidRDefault="008C5D48" w:rsidP="00040375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36B6E" w:rsidRDefault="00236B6E" w:rsidP="00236B6E"/>
    <w:p w:rsidR="00236B6E" w:rsidRDefault="00236B6E" w:rsidP="00236B6E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236B6E" w:rsidRDefault="00236B6E" w:rsidP="00236B6E">
      <w:pPr>
        <w:rPr>
          <w:sz w:val="28"/>
          <w:szCs w:val="28"/>
        </w:rPr>
      </w:pPr>
    </w:p>
    <w:p w:rsidR="00236B6E" w:rsidRDefault="00236B6E" w:rsidP="00236B6E">
      <w:pPr>
        <w:rPr>
          <w:sz w:val="28"/>
          <w:szCs w:val="28"/>
        </w:rPr>
      </w:pPr>
    </w:p>
    <w:p w:rsidR="00236B6E" w:rsidRDefault="00236B6E" w:rsidP="00236B6E">
      <w:pPr>
        <w:jc w:val="right"/>
        <w:rPr>
          <w:sz w:val="28"/>
          <w:szCs w:val="28"/>
        </w:rPr>
      </w:pPr>
      <w:r w:rsidRPr="0025327E">
        <w:rPr>
          <w:color w:val="000000"/>
          <w:spacing w:val="2"/>
          <w:sz w:val="22"/>
          <w:szCs w:val="22"/>
        </w:rPr>
        <w:t xml:space="preserve">Приложение № </w:t>
      </w:r>
      <w:r>
        <w:rPr>
          <w:color w:val="000000"/>
          <w:spacing w:val="2"/>
          <w:sz w:val="22"/>
          <w:szCs w:val="22"/>
        </w:rPr>
        <w:t>2</w:t>
      </w:r>
      <w:r w:rsidRPr="0025327E">
        <w:rPr>
          <w:color w:val="000000"/>
          <w:spacing w:val="2"/>
          <w:sz w:val="22"/>
          <w:szCs w:val="22"/>
        </w:rPr>
        <w:t xml:space="preserve"> к </w:t>
      </w:r>
      <w:r>
        <w:rPr>
          <w:color w:val="000000"/>
          <w:spacing w:val="2"/>
          <w:sz w:val="22"/>
          <w:szCs w:val="22"/>
        </w:rPr>
        <w:t>постановлению</w:t>
      </w:r>
    </w:p>
    <w:p w:rsidR="00236B6E" w:rsidRDefault="00236B6E" w:rsidP="00236B6E">
      <w:pPr>
        <w:jc w:val="right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администрации Перекопновского МО</w:t>
      </w:r>
      <w:r w:rsidRPr="00FA7921">
        <w:rPr>
          <w:sz w:val="22"/>
          <w:szCs w:val="22"/>
        </w:rPr>
        <w:t xml:space="preserve"> </w:t>
      </w:r>
    </w:p>
    <w:p w:rsidR="00236B6E" w:rsidRPr="00FA7921" w:rsidRDefault="00236B6E" w:rsidP="00236B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24.12.</w:t>
      </w:r>
      <w:r w:rsidRPr="00FA79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FA7921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 xml:space="preserve">62   </w:t>
      </w:r>
    </w:p>
    <w:p w:rsidR="00236B6E" w:rsidRDefault="00236B6E" w:rsidP="0023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36B6E" w:rsidRDefault="00236B6E" w:rsidP="00236B6E">
      <w:pPr>
        <w:jc w:val="both"/>
        <w:rPr>
          <w:sz w:val="28"/>
          <w:szCs w:val="28"/>
        </w:rPr>
      </w:pPr>
    </w:p>
    <w:p w:rsidR="00236B6E" w:rsidRDefault="00236B6E" w:rsidP="00236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sz w:val="24"/>
          <w:szCs w:val="24"/>
        </w:rPr>
        <w:t xml:space="preserve"> Перекопновского муниципального образования Ершовского </w:t>
      </w:r>
      <w:r w:rsidRPr="00D909C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Саратовской области</w:t>
      </w:r>
    </w:p>
    <w:p w:rsidR="00236B6E" w:rsidRDefault="00236B6E" w:rsidP="00236B6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538"/>
        <w:gridCol w:w="5787"/>
      </w:tblGrid>
      <w:tr w:rsidR="00236B6E" w:rsidTr="008C5D48">
        <w:trPr>
          <w:trHeight w:val="854"/>
        </w:trPr>
        <w:tc>
          <w:tcPr>
            <w:tcW w:w="4492" w:type="dxa"/>
            <w:gridSpan w:val="2"/>
          </w:tcPr>
          <w:p w:rsidR="00236B6E" w:rsidRDefault="00236B6E" w:rsidP="00040375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787" w:type="dxa"/>
            <w:vMerge w:val="restart"/>
          </w:tcPr>
          <w:p w:rsidR="00236B6E" w:rsidRDefault="00236B6E" w:rsidP="00040375">
            <w:pPr>
              <w:rPr>
                <w:sz w:val="24"/>
                <w:szCs w:val="24"/>
              </w:rPr>
            </w:pPr>
          </w:p>
          <w:p w:rsidR="00236B6E" w:rsidRDefault="00236B6E" w:rsidP="000403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43667">
              <w:rPr>
                <w:color w:val="000000"/>
                <w:spacing w:val="-5"/>
                <w:sz w:val="24"/>
                <w:szCs w:val="24"/>
              </w:rPr>
              <w:t>администратора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источников внутреннего финансирования дефицита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</w:t>
            </w:r>
            <w:proofErr w:type="gramEnd"/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/Наименование кода классификации </w:t>
            </w:r>
            <w:r>
              <w:rPr>
                <w:sz w:val="24"/>
                <w:szCs w:val="24"/>
              </w:rPr>
              <w:t xml:space="preserve">источника внутреннего финансирования </w:t>
            </w:r>
          </w:p>
        </w:tc>
      </w:tr>
      <w:tr w:rsidR="00236B6E" w:rsidRPr="00685DCD" w:rsidTr="008C5D48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954" w:type="dxa"/>
          </w:tcPr>
          <w:p w:rsidR="00236B6E" w:rsidRPr="00685DCD" w:rsidRDefault="00236B6E" w:rsidP="0004037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Главного администратора источников внутреннего финансирования</w:t>
            </w:r>
          </w:p>
          <w:p w:rsidR="00236B6E" w:rsidRPr="00685DCD" w:rsidRDefault="00236B6E" w:rsidP="0004037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>администратора</w:t>
            </w:r>
          </w:p>
        </w:tc>
        <w:tc>
          <w:tcPr>
            <w:tcW w:w="2538" w:type="dxa"/>
          </w:tcPr>
          <w:p w:rsidR="00236B6E" w:rsidRPr="00685DCD" w:rsidRDefault="00236B6E" w:rsidP="0004037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группы, подгруппы, статьи и вида источника внутреннего финансирования дефицита 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>бюджет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                      </w:t>
            </w:r>
          </w:p>
        </w:tc>
        <w:tc>
          <w:tcPr>
            <w:tcW w:w="5787" w:type="dxa"/>
            <w:vMerge/>
          </w:tcPr>
          <w:p w:rsidR="00236B6E" w:rsidRPr="00685DCD" w:rsidRDefault="00236B6E" w:rsidP="0004037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236B6E" w:rsidRPr="00685DCD" w:rsidTr="008C5D48">
        <w:tblPrEx>
          <w:tblLook w:val="04A0" w:firstRow="1" w:lastRow="0" w:firstColumn="1" w:lastColumn="0" w:noHBand="0" w:noVBand="1"/>
        </w:tblPrEx>
        <w:tc>
          <w:tcPr>
            <w:tcW w:w="1954" w:type="dxa"/>
          </w:tcPr>
          <w:p w:rsidR="00236B6E" w:rsidRPr="003B6B3F" w:rsidRDefault="00236B6E" w:rsidP="0004037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36B6E" w:rsidRPr="003B6B3F" w:rsidRDefault="00236B6E" w:rsidP="0004037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</w:tcPr>
          <w:p w:rsidR="00236B6E" w:rsidRPr="003B6B3F" w:rsidRDefault="00236B6E" w:rsidP="0004037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Перекопновского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Ершовского </w:t>
            </w:r>
            <w:r w:rsidRPr="00D909CE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8C5D48" w:rsidRPr="00685DCD" w:rsidTr="008C5D48">
        <w:tblPrEx>
          <w:tblLook w:val="04A0" w:firstRow="1" w:lastRow="0" w:firstColumn="1" w:lastColumn="0" w:noHBand="0" w:noVBand="1"/>
        </w:tblPrEx>
        <w:tc>
          <w:tcPr>
            <w:tcW w:w="1954" w:type="dxa"/>
          </w:tcPr>
          <w:p w:rsidR="008C5D48" w:rsidRDefault="008C5D48" w:rsidP="008C5D48">
            <w:pPr>
              <w:jc w:val="center"/>
            </w:pPr>
            <w:r w:rsidRPr="001F6485">
              <w:rPr>
                <w:sz w:val="24"/>
                <w:szCs w:val="24"/>
              </w:rPr>
              <w:t>730</w:t>
            </w:r>
          </w:p>
        </w:tc>
        <w:tc>
          <w:tcPr>
            <w:tcW w:w="2538" w:type="dxa"/>
          </w:tcPr>
          <w:p w:rsidR="008C5D48" w:rsidRPr="003B6B3F" w:rsidRDefault="008C5D48" w:rsidP="0004037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0105 0201 10 0000 510</w:t>
            </w:r>
          </w:p>
        </w:tc>
        <w:tc>
          <w:tcPr>
            <w:tcW w:w="5787" w:type="dxa"/>
          </w:tcPr>
          <w:p w:rsidR="008C5D48" w:rsidRPr="003B6B3F" w:rsidRDefault="008C5D48" w:rsidP="000403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C5D48" w:rsidRPr="00685DCD" w:rsidTr="008C5D48">
        <w:tblPrEx>
          <w:tblLook w:val="04A0" w:firstRow="1" w:lastRow="0" w:firstColumn="1" w:lastColumn="0" w:noHBand="0" w:noVBand="1"/>
        </w:tblPrEx>
        <w:tc>
          <w:tcPr>
            <w:tcW w:w="1954" w:type="dxa"/>
          </w:tcPr>
          <w:p w:rsidR="008C5D48" w:rsidRDefault="008C5D48" w:rsidP="008C5D48">
            <w:pPr>
              <w:jc w:val="center"/>
            </w:pPr>
            <w:r w:rsidRPr="001F6485">
              <w:rPr>
                <w:sz w:val="24"/>
                <w:szCs w:val="24"/>
              </w:rPr>
              <w:t>730</w:t>
            </w:r>
          </w:p>
        </w:tc>
        <w:tc>
          <w:tcPr>
            <w:tcW w:w="2538" w:type="dxa"/>
          </w:tcPr>
          <w:p w:rsidR="008C5D48" w:rsidRPr="003B6B3F" w:rsidRDefault="008C5D48" w:rsidP="0004037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0105 0201 10 0000 610</w:t>
            </w:r>
          </w:p>
        </w:tc>
        <w:tc>
          <w:tcPr>
            <w:tcW w:w="5787" w:type="dxa"/>
          </w:tcPr>
          <w:p w:rsidR="008C5D48" w:rsidRPr="003B6B3F" w:rsidRDefault="008C5D48" w:rsidP="000403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36B6E" w:rsidRPr="00ED7B7E" w:rsidRDefault="00236B6E" w:rsidP="00236B6E">
      <w:pPr>
        <w:rPr>
          <w:sz w:val="28"/>
          <w:szCs w:val="28"/>
        </w:rPr>
      </w:pPr>
    </w:p>
    <w:p w:rsidR="00236B6E" w:rsidRPr="00ED504B" w:rsidRDefault="00236B6E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sz w:val="24"/>
        </w:rPr>
      </w:pPr>
    </w:p>
    <w:sectPr w:rsidR="00236B6E" w:rsidRPr="00ED504B" w:rsidSect="00236B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547"/>
    <w:rsid w:val="00076177"/>
    <w:rsid w:val="000A612E"/>
    <w:rsid w:val="000C39C8"/>
    <w:rsid w:val="00101096"/>
    <w:rsid w:val="001C1C24"/>
    <w:rsid w:val="00236B6E"/>
    <w:rsid w:val="002E011A"/>
    <w:rsid w:val="002E5ABB"/>
    <w:rsid w:val="00362638"/>
    <w:rsid w:val="004A5D3D"/>
    <w:rsid w:val="004D76FA"/>
    <w:rsid w:val="004F5FD1"/>
    <w:rsid w:val="0050639F"/>
    <w:rsid w:val="007521AC"/>
    <w:rsid w:val="00847DE6"/>
    <w:rsid w:val="00862B12"/>
    <w:rsid w:val="008C5D48"/>
    <w:rsid w:val="008C6F6E"/>
    <w:rsid w:val="008D1FD0"/>
    <w:rsid w:val="008E23FC"/>
    <w:rsid w:val="00965FB6"/>
    <w:rsid w:val="00967773"/>
    <w:rsid w:val="00972B1F"/>
    <w:rsid w:val="00BD184A"/>
    <w:rsid w:val="00BE2EF9"/>
    <w:rsid w:val="00CA33CF"/>
    <w:rsid w:val="00D512BB"/>
    <w:rsid w:val="00D92AF3"/>
    <w:rsid w:val="00DA23E9"/>
    <w:rsid w:val="00DF03A6"/>
    <w:rsid w:val="00E004DA"/>
    <w:rsid w:val="00E7573A"/>
    <w:rsid w:val="00E75974"/>
    <w:rsid w:val="00EB3343"/>
    <w:rsid w:val="00ED504B"/>
    <w:rsid w:val="00ED74F5"/>
    <w:rsid w:val="00F25547"/>
    <w:rsid w:val="00F67A27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236B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236B6E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23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12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1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28</cp:revision>
  <cp:lastPrinted>2021-12-27T06:05:00Z</cp:lastPrinted>
  <dcterms:created xsi:type="dcterms:W3CDTF">2021-12-08T05:48:00Z</dcterms:created>
  <dcterms:modified xsi:type="dcterms:W3CDTF">2021-12-27T06:05:00Z</dcterms:modified>
</cp:coreProperties>
</file>